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D338" w14:textId="2ED72A94" w:rsidR="002A70B9" w:rsidRPr="00A57EA9" w:rsidRDefault="005F2698" w:rsidP="002A70B9">
      <w:pPr>
        <w:spacing w:after="0" w:line="276" w:lineRule="auto"/>
        <w:jc w:val="center"/>
        <w:rPr>
          <w:rFonts w:asciiTheme="majorHAnsi" w:hAnsiTheme="majorHAnsi" w:cstheme="majorHAnsi"/>
          <w:b/>
          <w:bCs/>
          <w:sz w:val="40"/>
          <w:szCs w:val="40"/>
        </w:rPr>
      </w:pPr>
      <w:r w:rsidRPr="00A57EA9">
        <w:rPr>
          <w:rFonts w:asciiTheme="majorHAnsi" w:hAnsiTheme="majorHAnsi" w:cstheme="majorHAnsi"/>
          <w:b/>
          <w:bCs/>
          <w:sz w:val="40"/>
          <w:szCs w:val="40"/>
        </w:rPr>
        <w:t xml:space="preserve">FONDO TRANSIZIONE INDUSTRIALE </w:t>
      </w:r>
    </w:p>
    <w:p w14:paraId="2599E33C" w14:textId="77777777" w:rsidR="00E75D52" w:rsidRDefault="00E9741B"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 xml:space="preserve">DECRETO </w:t>
      </w:r>
      <w:r w:rsidR="005F2698" w:rsidRPr="00A57EA9">
        <w:rPr>
          <w:rFonts w:asciiTheme="majorHAnsi" w:hAnsiTheme="majorHAnsi" w:cstheme="majorHAnsi"/>
          <w:b/>
          <w:bCs/>
          <w:sz w:val="24"/>
          <w:szCs w:val="24"/>
        </w:rPr>
        <w:t>INTERMINISTARIALE DEL 21 OTTOBRE 2022</w:t>
      </w:r>
    </w:p>
    <w:p w14:paraId="4694A77E" w14:textId="2FDB9129" w:rsidR="00E9741B" w:rsidRPr="00F80046" w:rsidRDefault="005F2698"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(PUBB</w:t>
      </w:r>
      <w:r w:rsidRPr="00F80046">
        <w:rPr>
          <w:rFonts w:asciiTheme="majorHAnsi" w:hAnsiTheme="majorHAnsi" w:cstheme="majorHAnsi"/>
          <w:b/>
          <w:bCs/>
          <w:sz w:val="24"/>
          <w:szCs w:val="24"/>
        </w:rPr>
        <w:t>LICATO NELLA GAZZETTA UFFICIALE N. 297 DEL 21 DICEMBRE 2022)</w:t>
      </w:r>
    </w:p>
    <w:p w14:paraId="4FEA705A" w14:textId="79814139" w:rsidR="00E9741B" w:rsidRDefault="005F2698" w:rsidP="00E9741B">
      <w:pPr>
        <w:spacing w:after="0" w:line="240" w:lineRule="auto"/>
        <w:jc w:val="center"/>
        <w:rPr>
          <w:rFonts w:asciiTheme="majorHAnsi" w:hAnsiTheme="majorHAnsi" w:cstheme="majorHAnsi"/>
          <w:b/>
          <w:bCs/>
          <w:sz w:val="24"/>
          <w:szCs w:val="24"/>
        </w:rPr>
      </w:pPr>
      <w:r w:rsidRPr="00F80046">
        <w:rPr>
          <w:rFonts w:asciiTheme="majorHAnsi" w:hAnsiTheme="majorHAnsi" w:cstheme="majorHAnsi"/>
          <w:b/>
          <w:bCs/>
          <w:sz w:val="24"/>
          <w:szCs w:val="24"/>
        </w:rPr>
        <w:t xml:space="preserve">DECRETO DIRETTORIALE MIMIT DEL </w:t>
      </w:r>
      <w:r w:rsidR="00F80046" w:rsidRPr="00F80046">
        <w:rPr>
          <w:rFonts w:asciiTheme="majorHAnsi" w:hAnsiTheme="majorHAnsi" w:cstheme="majorHAnsi"/>
          <w:b/>
          <w:bCs/>
          <w:sz w:val="24"/>
          <w:szCs w:val="24"/>
        </w:rPr>
        <w:t>2</w:t>
      </w:r>
      <w:r w:rsidRPr="00F80046">
        <w:rPr>
          <w:rFonts w:asciiTheme="majorHAnsi" w:hAnsiTheme="majorHAnsi" w:cstheme="majorHAnsi"/>
          <w:b/>
          <w:bCs/>
          <w:sz w:val="24"/>
          <w:szCs w:val="24"/>
        </w:rPr>
        <w:t xml:space="preserve">3 </w:t>
      </w:r>
      <w:r w:rsidR="00F80046" w:rsidRPr="00F80046">
        <w:rPr>
          <w:rFonts w:asciiTheme="majorHAnsi" w:hAnsiTheme="majorHAnsi" w:cstheme="majorHAnsi"/>
          <w:b/>
          <w:bCs/>
          <w:sz w:val="24"/>
          <w:szCs w:val="24"/>
        </w:rPr>
        <w:t>DICEMBRE</w:t>
      </w:r>
      <w:r w:rsidRPr="00F80046">
        <w:rPr>
          <w:rFonts w:asciiTheme="majorHAnsi" w:hAnsiTheme="majorHAnsi" w:cstheme="majorHAnsi"/>
          <w:b/>
          <w:bCs/>
          <w:sz w:val="24"/>
          <w:szCs w:val="24"/>
        </w:rPr>
        <w:t xml:space="preserve"> 202</w:t>
      </w:r>
      <w:r w:rsidR="00B7435E">
        <w:rPr>
          <w:rFonts w:asciiTheme="majorHAnsi" w:hAnsiTheme="majorHAnsi" w:cstheme="majorHAnsi"/>
          <w:b/>
          <w:bCs/>
          <w:sz w:val="24"/>
          <w:szCs w:val="24"/>
        </w:rPr>
        <w:t>4</w:t>
      </w:r>
    </w:p>
    <w:p w14:paraId="7B6E9556" w14:textId="6E220802" w:rsidR="00E826AD" w:rsidRDefault="00E826AD" w:rsidP="00E826AD">
      <w:pPr>
        <w:spacing w:after="0" w:line="240" w:lineRule="auto"/>
        <w:jc w:val="center"/>
        <w:rPr>
          <w:rFonts w:asciiTheme="majorHAnsi" w:hAnsiTheme="majorHAnsi" w:cstheme="majorHAnsi"/>
          <w:b/>
          <w:bCs/>
          <w:sz w:val="24"/>
          <w:szCs w:val="24"/>
        </w:rPr>
      </w:pPr>
      <w:r w:rsidRPr="00F80046">
        <w:rPr>
          <w:rFonts w:asciiTheme="majorHAnsi" w:hAnsiTheme="majorHAnsi" w:cstheme="majorHAnsi"/>
          <w:b/>
          <w:bCs/>
          <w:sz w:val="24"/>
          <w:szCs w:val="24"/>
        </w:rPr>
        <w:t xml:space="preserve">DECRETO DIRETTORIALE MIMIT DEL </w:t>
      </w:r>
      <w:r>
        <w:rPr>
          <w:rFonts w:asciiTheme="majorHAnsi" w:hAnsiTheme="majorHAnsi" w:cstheme="majorHAnsi"/>
          <w:b/>
          <w:bCs/>
          <w:sz w:val="24"/>
          <w:szCs w:val="24"/>
        </w:rPr>
        <w:t>18 LUGLIO 2025</w:t>
      </w:r>
    </w:p>
    <w:p w14:paraId="11C35C4E" w14:textId="77777777" w:rsidR="009D29E6" w:rsidRDefault="009D29E6" w:rsidP="00E9741B">
      <w:pPr>
        <w:spacing w:after="0" w:line="240" w:lineRule="auto"/>
        <w:jc w:val="center"/>
        <w:rPr>
          <w:rFonts w:asciiTheme="majorHAnsi" w:hAnsiTheme="majorHAnsi" w:cstheme="majorHAnsi"/>
          <w:b/>
          <w:bCs/>
          <w:sz w:val="24"/>
          <w:szCs w:val="24"/>
        </w:rPr>
      </w:pPr>
    </w:p>
    <w:p w14:paraId="18280ED7" w14:textId="03C4CB1F" w:rsidR="002A70B9" w:rsidRDefault="007D55ED" w:rsidP="002A70B9">
      <w:pPr>
        <w:spacing w:after="0" w:line="240" w:lineRule="auto"/>
        <w:jc w:val="center"/>
        <w:rPr>
          <w:rFonts w:asciiTheme="majorHAnsi" w:hAnsiTheme="majorHAnsi" w:cstheme="majorHAnsi"/>
          <w:b/>
          <w:bCs/>
          <w:sz w:val="40"/>
          <w:szCs w:val="40"/>
        </w:rPr>
      </w:pPr>
      <w:r>
        <w:rPr>
          <w:rFonts w:asciiTheme="majorHAnsi" w:hAnsiTheme="majorHAnsi" w:cstheme="majorHAnsi"/>
          <w:b/>
          <w:bCs/>
          <w:sz w:val="40"/>
          <w:szCs w:val="40"/>
        </w:rPr>
        <w:t xml:space="preserve">INDICAZIONI SULLA COMPILAZIONE DELLA </w:t>
      </w:r>
      <w:r w:rsidR="009D29E6" w:rsidRPr="00A57EA9">
        <w:rPr>
          <w:rFonts w:asciiTheme="majorHAnsi" w:hAnsiTheme="majorHAnsi" w:cstheme="majorHAnsi"/>
          <w:b/>
          <w:bCs/>
          <w:sz w:val="40"/>
          <w:szCs w:val="40"/>
        </w:rPr>
        <w:t xml:space="preserve">RELAZIONE TECNICA </w:t>
      </w:r>
    </w:p>
    <w:p w14:paraId="63904B4F" w14:textId="77777777" w:rsidR="007C2E2B" w:rsidRDefault="007C2E2B" w:rsidP="002A70B9">
      <w:pPr>
        <w:spacing w:after="0" w:line="240" w:lineRule="auto"/>
        <w:jc w:val="center"/>
        <w:rPr>
          <w:rFonts w:asciiTheme="majorHAnsi" w:hAnsiTheme="majorHAnsi" w:cstheme="majorHAnsi"/>
          <w:b/>
          <w:bCs/>
          <w:sz w:val="40"/>
          <w:szCs w:val="40"/>
        </w:rPr>
      </w:pPr>
    </w:p>
    <w:p w14:paraId="45FA51C5" w14:textId="09E726B6" w:rsidR="007C2E2B" w:rsidRDefault="007C2E2B" w:rsidP="007C2E2B">
      <w:pPr>
        <w:spacing w:after="120" w:line="276" w:lineRule="auto"/>
        <w:jc w:val="both"/>
        <w:rPr>
          <w:rFonts w:asciiTheme="majorHAnsi" w:hAnsiTheme="majorHAnsi" w:cstheme="majorHAnsi"/>
          <w:sz w:val="20"/>
          <w:szCs w:val="20"/>
        </w:rPr>
      </w:pPr>
      <w:r w:rsidRPr="007C2E2B">
        <w:rPr>
          <w:rFonts w:asciiTheme="majorHAnsi" w:hAnsiTheme="majorHAnsi" w:cstheme="majorHAnsi"/>
          <w:sz w:val="20"/>
          <w:szCs w:val="20"/>
        </w:rPr>
        <w:t>Si sottolinea che nella compilazione della RT è necessario attenersi al template proposto senza effettuare modific</w:t>
      </w:r>
      <w:r w:rsidR="00B7435E">
        <w:rPr>
          <w:rFonts w:asciiTheme="majorHAnsi" w:hAnsiTheme="majorHAnsi" w:cstheme="majorHAnsi"/>
          <w:sz w:val="20"/>
          <w:szCs w:val="20"/>
        </w:rPr>
        <w:t>he</w:t>
      </w:r>
      <w:r w:rsidRPr="007C2E2B">
        <w:rPr>
          <w:rFonts w:asciiTheme="majorHAnsi" w:hAnsiTheme="majorHAnsi" w:cstheme="majorHAnsi"/>
          <w:sz w:val="20"/>
          <w:szCs w:val="20"/>
        </w:rPr>
        <w:t xml:space="preserve"> della struttura</w:t>
      </w:r>
      <w:r>
        <w:rPr>
          <w:rFonts w:asciiTheme="majorHAnsi" w:hAnsiTheme="majorHAnsi" w:cstheme="majorHAnsi"/>
          <w:sz w:val="20"/>
          <w:szCs w:val="20"/>
        </w:rPr>
        <w:t>.</w:t>
      </w:r>
    </w:p>
    <w:p w14:paraId="5B56031B" w14:textId="109DB978" w:rsidR="007C2E2B" w:rsidRDefault="007C2E2B" w:rsidP="007C2E2B">
      <w:pPr>
        <w:spacing w:after="120" w:line="276" w:lineRule="auto"/>
        <w:jc w:val="both"/>
        <w:rPr>
          <w:rFonts w:asciiTheme="majorHAnsi" w:hAnsiTheme="majorHAnsi" w:cstheme="majorHAnsi"/>
          <w:sz w:val="20"/>
          <w:szCs w:val="20"/>
        </w:rPr>
      </w:pPr>
      <w:r w:rsidRPr="007C2E2B">
        <w:rPr>
          <w:rFonts w:asciiTheme="majorHAnsi" w:hAnsiTheme="majorHAnsi" w:cstheme="majorHAnsi"/>
          <w:sz w:val="20"/>
          <w:szCs w:val="20"/>
        </w:rPr>
        <w:t xml:space="preserve">Ogni singolo intervento, del più ampio programma di investimento, deve essere valutato a sé. </w:t>
      </w:r>
      <w:r w:rsidR="0084699C">
        <w:rPr>
          <w:rFonts w:asciiTheme="majorHAnsi" w:hAnsiTheme="majorHAnsi" w:cstheme="majorHAnsi"/>
          <w:sz w:val="20"/>
          <w:szCs w:val="20"/>
        </w:rPr>
        <w:t>È</w:t>
      </w:r>
      <w:r w:rsidRPr="007C2E2B">
        <w:rPr>
          <w:rFonts w:asciiTheme="majorHAnsi" w:hAnsiTheme="majorHAnsi" w:cstheme="majorHAnsi"/>
          <w:sz w:val="20"/>
          <w:szCs w:val="20"/>
        </w:rPr>
        <w:t xml:space="preserve"> necessario replicare per ciascun </w:t>
      </w:r>
      <w:r w:rsidR="00B7435E">
        <w:rPr>
          <w:rFonts w:asciiTheme="majorHAnsi" w:hAnsiTheme="majorHAnsi" w:cstheme="majorHAnsi"/>
          <w:sz w:val="20"/>
          <w:szCs w:val="20"/>
        </w:rPr>
        <w:t>intervento</w:t>
      </w:r>
      <w:r w:rsidRPr="007C2E2B">
        <w:rPr>
          <w:rFonts w:asciiTheme="majorHAnsi" w:hAnsiTheme="majorHAnsi" w:cstheme="majorHAnsi"/>
          <w:sz w:val="20"/>
          <w:szCs w:val="20"/>
        </w:rPr>
        <w:t xml:space="preserve"> la trattazione relativa a Descrizione, Quantificazione obiettivi ambientali, Spese di investimento, Quadro analitico delle spese e Ipotesi di scenario controfattuale</w:t>
      </w:r>
      <w:r>
        <w:rPr>
          <w:rFonts w:asciiTheme="majorHAnsi" w:hAnsiTheme="majorHAnsi" w:cstheme="majorHAnsi"/>
          <w:sz w:val="20"/>
          <w:szCs w:val="20"/>
        </w:rPr>
        <w:t xml:space="preserve"> (ove </w:t>
      </w:r>
      <w:r w:rsidR="00B7435E">
        <w:rPr>
          <w:rFonts w:asciiTheme="majorHAnsi" w:hAnsiTheme="majorHAnsi" w:cstheme="majorHAnsi"/>
          <w:sz w:val="20"/>
          <w:szCs w:val="20"/>
        </w:rPr>
        <w:t>previsto</w:t>
      </w:r>
      <w:r>
        <w:rPr>
          <w:rFonts w:asciiTheme="majorHAnsi" w:hAnsiTheme="majorHAnsi" w:cstheme="majorHAnsi"/>
          <w:sz w:val="20"/>
          <w:szCs w:val="20"/>
        </w:rPr>
        <w:t>).</w:t>
      </w:r>
    </w:p>
    <w:p w14:paraId="2AC6208B" w14:textId="169EA77B" w:rsidR="007C2E2B" w:rsidRDefault="007C2E2B"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Eliminare gli eventuali paragrafi o sezioni relative a interventi non proposti.</w:t>
      </w:r>
    </w:p>
    <w:p w14:paraId="6CD0475C" w14:textId="2FB114CF" w:rsidR="002605CF" w:rsidRDefault="002605CF"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Si rammenta che i dati di energia e massa e</w:t>
      </w:r>
      <w:r w:rsidR="00B70209">
        <w:rPr>
          <w:rFonts w:asciiTheme="majorHAnsi" w:hAnsiTheme="majorHAnsi" w:cstheme="majorHAnsi"/>
          <w:sz w:val="20"/>
          <w:szCs w:val="20"/>
        </w:rPr>
        <w:t xml:space="preserve"> le</w:t>
      </w:r>
      <w:r>
        <w:rPr>
          <w:rFonts w:asciiTheme="majorHAnsi" w:hAnsiTheme="majorHAnsi" w:cstheme="majorHAnsi"/>
          <w:sz w:val="20"/>
          <w:szCs w:val="20"/>
        </w:rPr>
        <w:t xml:space="preserve"> spese</w:t>
      </w:r>
      <w:r w:rsidR="00B70209">
        <w:rPr>
          <w:rFonts w:asciiTheme="majorHAnsi" w:hAnsiTheme="majorHAnsi" w:cstheme="majorHAnsi"/>
          <w:sz w:val="20"/>
          <w:szCs w:val="20"/>
        </w:rPr>
        <w:t>,</w:t>
      </w:r>
      <w:r>
        <w:rPr>
          <w:rFonts w:asciiTheme="majorHAnsi" w:hAnsiTheme="majorHAnsi" w:cstheme="majorHAnsi"/>
          <w:sz w:val="20"/>
          <w:szCs w:val="20"/>
        </w:rPr>
        <w:t xml:space="preserve"> riportati nella RT</w:t>
      </w:r>
      <w:r w:rsidR="00B70209">
        <w:rPr>
          <w:rFonts w:asciiTheme="majorHAnsi" w:hAnsiTheme="majorHAnsi" w:cstheme="majorHAnsi"/>
          <w:sz w:val="20"/>
          <w:szCs w:val="20"/>
        </w:rPr>
        <w:t>,</w:t>
      </w:r>
      <w:r>
        <w:rPr>
          <w:rFonts w:asciiTheme="majorHAnsi" w:hAnsiTheme="majorHAnsi" w:cstheme="majorHAnsi"/>
          <w:sz w:val="20"/>
          <w:szCs w:val="20"/>
        </w:rPr>
        <w:t xml:space="preserve"> devono essere coincidenti con quelli riportati nei file</w:t>
      </w:r>
      <w:r w:rsidR="00B70209">
        <w:rPr>
          <w:rFonts w:asciiTheme="majorHAnsi" w:hAnsiTheme="majorHAnsi" w:cstheme="majorHAnsi"/>
          <w:sz w:val="20"/>
          <w:szCs w:val="20"/>
        </w:rPr>
        <w:t>s</w:t>
      </w:r>
      <w:r>
        <w:rPr>
          <w:rFonts w:asciiTheme="majorHAnsi" w:hAnsiTheme="majorHAnsi" w:cstheme="majorHAnsi"/>
          <w:sz w:val="20"/>
          <w:szCs w:val="20"/>
        </w:rPr>
        <w:t xml:space="preserve"> allegati denominati </w:t>
      </w:r>
      <w:r w:rsidRPr="002605CF">
        <w:rPr>
          <w:rFonts w:asciiTheme="majorHAnsi" w:hAnsiTheme="majorHAnsi" w:cstheme="majorHAnsi"/>
          <w:sz w:val="20"/>
          <w:szCs w:val="20"/>
        </w:rPr>
        <w:t>“Dati input energia massa” e “Dati input spese”</w:t>
      </w:r>
      <w:r>
        <w:rPr>
          <w:rFonts w:asciiTheme="majorHAnsi" w:hAnsiTheme="majorHAnsi" w:cstheme="majorHAnsi"/>
          <w:sz w:val="20"/>
          <w:szCs w:val="20"/>
        </w:rPr>
        <w:t>.</w:t>
      </w:r>
    </w:p>
    <w:p w14:paraId="10B4F64B" w14:textId="37780865" w:rsidR="007C2E2B" w:rsidRPr="007C2E2B" w:rsidRDefault="007C2E2B"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Di seguito si riportano una serie di precisazioni e indicazioni in merito alle modalità di compilazione della RT.</w:t>
      </w:r>
    </w:p>
    <w:p w14:paraId="3BE3F90B" w14:textId="77777777" w:rsidR="007C2E2B" w:rsidRDefault="007C2E2B" w:rsidP="007C2E2B">
      <w:pPr>
        <w:spacing w:after="0" w:line="240" w:lineRule="auto"/>
        <w:rPr>
          <w:rFonts w:asciiTheme="majorHAnsi" w:hAnsiTheme="majorHAnsi" w:cstheme="majorHAnsi"/>
          <w:b/>
          <w:bCs/>
          <w:i/>
          <w:iCs/>
          <w:sz w:val="24"/>
          <w:szCs w:val="24"/>
        </w:rPr>
      </w:pPr>
    </w:p>
    <w:p w14:paraId="28AF0A40" w14:textId="6DA39ABC" w:rsidR="002A70B9" w:rsidRPr="00CA43B9" w:rsidRDefault="002A70B9" w:rsidP="00725991">
      <w:pPr>
        <w:pStyle w:val="Titolo2"/>
      </w:pPr>
      <w:bookmarkStart w:id="0" w:name="_Toc181021955"/>
      <w:bookmarkStart w:id="1" w:name="_Hlk105496304"/>
      <w:r w:rsidRPr="00CA43B9">
        <w:t>LOCALIZZAZIONE</w:t>
      </w:r>
      <w:r w:rsidR="0064321B" w:rsidRPr="00CA43B9">
        <w:t>,</w:t>
      </w:r>
      <w:r w:rsidR="00AF7315" w:rsidRPr="00CA43B9">
        <w:t xml:space="preserve"> INQUADRAMENTO UNITÁ PRODUTTIVA</w:t>
      </w:r>
      <w:r w:rsidR="0064321B" w:rsidRPr="00CA43B9">
        <w:t xml:space="preserve"> </w:t>
      </w:r>
      <w:r w:rsidR="008A44C1" w:rsidRPr="00CA43B9">
        <w:t>E PREMIALITÁ</w:t>
      </w:r>
      <w:bookmarkEnd w:id="0"/>
    </w:p>
    <w:p w14:paraId="01674F2A" w14:textId="2D1DCD5A" w:rsidR="00AF7315" w:rsidRDefault="007D55ED" w:rsidP="00727D1A">
      <w:pPr>
        <w:numPr>
          <w:ilvl w:val="0"/>
          <w:numId w:val="17"/>
        </w:numPr>
        <w:spacing w:after="120" w:line="276" w:lineRule="auto"/>
        <w:ind w:left="850" w:hanging="357"/>
        <w:jc w:val="both"/>
        <w:rPr>
          <w:rFonts w:asciiTheme="majorHAnsi" w:hAnsiTheme="majorHAnsi" w:cstheme="majorHAnsi"/>
          <w:sz w:val="20"/>
          <w:szCs w:val="20"/>
        </w:rPr>
      </w:pPr>
      <w:r>
        <w:rPr>
          <w:rFonts w:asciiTheme="majorHAnsi" w:hAnsiTheme="majorHAnsi" w:cstheme="majorHAnsi"/>
          <w:sz w:val="20"/>
          <w:szCs w:val="20"/>
        </w:rPr>
        <w:t>Con riferimento al codice ATECO in</w:t>
      </w:r>
      <w:r w:rsidRPr="007D55ED">
        <w:rPr>
          <w:rFonts w:asciiTheme="majorHAnsi" w:hAnsiTheme="majorHAnsi" w:cstheme="majorHAnsi"/>
          <w:sz w:val="20"/>
          <w:szCs w:val="20"/>
        </w:rPr>
        <w:t xml:space="preserve">dicare il codice e la classificazione dell’attività, ad esempio </w:t>
      </w:r>
      <w:r w:rsidR="00AF7315" w:rsidRPr="007D55ED">
        <w:rPr>
          <w:rFonts w:asciiTheme="majorHAnsi" w:hAnsiTheme="majorHAnsi" w:cstheme="majorHAnsi"/>
          <w:sz w:val="20"/>
          <w:szCs w:val="20"/>
        </w:rPr>
        <w:t>17.2 – Fabbricazione di articoli di carta e cartone</w:t>
      </w:r>
      <w:r w:rsidR="00F35D90">
        <w:rPr>
          <w:rFonts w:asciiTheme="majorHAnsi" w:hAnsiTheme="majorHAnsi" w:cstheme="majorHAnsi"/>
          <w:sz w:val="20"/>
          <w:szCs w:val="20"/>
        </w:rPr>
        <w:t>;</w:t>
      </w:r>
    </w:p>
    <w:p w14:paraId="205FD92C" w14:textId="08AEACA9" w:rsidR="00F35D90" w:rsidRDefault="00F35D90" w:rsidP="00727D1A">
      <w:pPr>
        <w:numPr>
          <w:ilvl w:val="0"/>
          <w:numId w:val="17"/>
        </w:numPr>
        <w:spacing w:after="120" w:line="276" w:lineRule="auto"/>
        <w:ind w:left="850" w:hanging="357"/>
        <w:jc w:val="both"/>
        <w:rPr>
          <w:rFonts w:asciiTheme="majorHAnsi" w:hAnsiTheme="majorHAnsi" w:cstheme="majorHAnsi"/>
          <w:sz w:val="20"/>
          <w:szCs w:val="20"/>
        </w:rPr>
      </w:pPr>
      <w:r w:rsidRPr="00F35D90">
        <w:rPr>
          <w:rFonts w:asciiTheme="majorHAnsi" w:hAnsiTheme="majorHAnsi" w:cstheme="majorHAnsi"/>
          <w:sz w:val="20"/>
          <w:szCs w:val="20"/>
        </w:rPr>
        <w:t>Si rammenta che l</w:t>
      </w:r>
      <w:r w:rsidR="00C93E98" w:rsidRPr="00F35D90">
        <w:rPr>
          <w:rFonts w:asciiTheme="majorHAnsi" w:hAnsiTheme="majorHAnsi" w:cstheme="majorHAnsi"/>
          <w:sz w:val="20"/>
          <w:szCs w:val="20"/>
        </w:rPr>
        <w:t>e imprese energivore sono quelle inserite, alla data di presentazione della domanda di accesso al Fondo, nell’elenco tenuto dalla Cassa per i Servizi Energetici e Ambientali (CSEA) relativo alle imprese a forte consumo di energia</w:t>
      </w:r>
      <w:r w:rsidR="00B70209">
        <w:rPr>
          <w:rFonts w:asciiTheme="majorHAnsi" w:hAnsiTheme="majorHAnsi" w:cstheme="majorHAnsi"/>
          <w:sz w:val="20"/>
          <w:szCs w:val="20"/>
        </w:rPr>
        <w:t>,</w:t>
      </w:r>
      <w:r w:rsidR="00C93E98" w:rsidRPr="00F35D90">
        <w:rPr>
          <w:rFonts w:asciiTheme="majorHAnsi" w:hAnsiTheme="majorHAnsi" w:cstheme="majorHAnsi"/>
          <w:sz w:val="20"/>
          <w:szCs w:val="20"/>
        </w:rPr>
        <w:t xml:space="preserve"> ai sensi dell’articolo 19, comma 2, della legge 20 novembre 2017, n. 167;</w:t>
      </w:r>
    </w:p>
    <w:p w14:paraId="7108E00E" w14:textId="7EA93839" w:rsidR="00D7760B" w:rsidRPr="008E0181" w:rsidRDefault="00F35D90" w:rsidP="00727D1A">
      <w:pPr>
        <w:numPr>
          <w:ilvl w:val="0"/>
          <w:numId w:val="17"/>
        </w:numPr>
        <w:spacing w:after="120" w:line="276" w:lineRule="auto"/>
        <w:ind w:left="850" w:hanging="357"/>
        <w:jc w:val="both"/>
        <w:rPr>
          <w:rFonts w:asciiTheme="majorHAnsi" w:hAnsiTheme="majorHAnsi" w:cstheme="majorHAnsi"/>
          <w:sz w:val="20"/>
          <w:szCs w:val="20"/>
        </w:rPr>
      </w:pPr>
      <w:r>
        <w:rPr>
          <w:rFonts w:asciiTheme="majorHAnsi" w:hAnsiTheme="majorHAnsi" w:cstheme="majorHAnsi"/>
          <w:sz w:val="20"/>
          <w:szCs w:val="20"/>
        </w:rPr>
        <w:t xml:space="preserve">Si rammenta che le materie </w:t>
      </w:r>
      <w:r w:rsidRPr="00F35D90">
        <w:rPr>
          <w:rFonts w:asciiTheme="majorHAnsi" w:hAnsiTheme="majorHAnsi" w:cstheme="majorHAnsi"/>
          <w:sz w:val="20"/>
          <w:szCs w:val="20"/>
        </w:rPr>
        <w:t>prime</w:t>
      </w:r>
      <w:r>
        <w:rPr>
          <w:rFonts w:asciiTheme="majorHAnsi" w:hAnsiTheme="majorHAnsi" w:cstheme="majorHAnsi"/>
          <w:sz w:val="20"/>
          <w:szCs w:val="20"/>
        </w:rPr>
        <w:t xml:space="preserve"> </w:t>
      </w:r>
      <w:r w:rsidRPr="00F35D90">
        <w:rPr>
          <w:rFonts w:asciiTheme="majorHAnsi" w:hAnsiTheme="majorHAnsi" w:cstheme="majorHAnsi"/>
          <w:sz w:val="20"/>
          <w:szCs w:val="20"/>
        </w:rPr>
        <w:t>critiche sono “le materie di cui all’allegato n. 1 della Comunicazione della Commissione al Parlamento europeo, al Consiglio, al Comitato economico e sociale europeo e al Comitato delle regioni COM</w:t>
      </w:r>
      <w:r>
        <w:rPr>
          <w:rFonts w:asciiTheme="majorHAnsi" w:hAnsiTheme="majorHAnsi" w:cstheme="majorHAnsi"/>
          <w:sz w:val="20"/>
          <w:szCs w:val="20"/>
        </w:rPr>
        <w:t xml:space="preserve"> </w:t>
      </w:r>
      <w:r w:rsidRPr="00F35D90">
        <w:rPr>
          <w:rFonts w:asciiTheme="majorHAnsi" w:hAnsiTheme="majorHAnsi" w:cstheme="majorHAnsi"/>
          <w:sz w:val="20"/>
          <w:szCs w:val="20"/>
        </w:rPr>
        <w:t>(2020) 474 finale del 3 settembre 2020, avente ad oggetto “Resilienza delle materie prime critiche: tracciare un percorso verso una maggiore sicurezza e sostenibilità”</w:t>
      </w:r>
      <w:r>
        <w:rPr>
          <w:rFonts w:asciiTheme="majorHAnsi" w:hAnsiTheme="majorHAnsi" w:cstheme="majorHAnsi"/>
          <w:sz w:val="20"/>
          <w:szCs w:val="20"/>
        </w:rPr>
        <w:t xml:space="preserve"> </w:t>
      </w:r>
      <w:hyperlink r:id="rId11" w:history="1">
        <w:r w:rsidR="0024329F" w:rsidRPr="00453EDB">
          <w:rPr>
            <w:rStyle w:val="Collegamentoipertestuale"/>
            <w:rFonts w:asciiTheme="majorHAnsi" w:hAnsiTheme="majorHAnsi" w:cstheme="majorHAnsi"/>
            <w:sz w:val="20"/>
            <w:szCs w:val="20"/>
          </w:rPr>
          <w:t>https://eur-lex.europa.eu/legal-content/IT/TXT/?uri=CELEX%3A52020DC0474</w:t>
        </w:r>
      </w:hyperlink>
      <w:bookmarkStart w:id="2" w:name="_Toc180133575"/>
      <w:bookmarkStart w:id="3" w:name="_Toc180134612"/>
      <w:bookmarkStart w:id="4" w:name="_Toc180135226"/>
      <w:bookmarkStart w:id="5" w:name="_Toc180135839"/>
      <w:bookmarkStart w:id="6" w:name="_Toc180136452"/>
      <w:bookmarkStart w:id="7" w:name="_Toc180137066"/>
      <w:bookmarkStart w:id="8" w:name="_Toc180137682"/>
      <w:bookmarkStart w:id="9" w:name="_Toc180138296"/>
      <w:bookmarkStart w:id="10" w:name="_Toc180139528"/>
      <w:bookmarkStart w:id="11" w:name="_Toc180140141"/>
      <w:bookmarkStart w:id="12" w:name="_Toc180140754"/>
      <w:bookmarkStart w:id="13" w:name="_Toc180141366"/>
      <w:bookmarkStart w:id="14" w:name="_Toc180141977"/>
      <w:bookmarkStart w:id="15" w:name="_Toc180142587"/>
      <w:bookmarkStart w:id="16" w:name="_Toc180143203"/>
      <w:bookmarkStart w:id="17" w:name="_Toc180139536"/>
      <w:bookmarkStart w:id="18" w:name="_Toc180144307"/>
      <w:bookmarkStart w:id="19" w:name="_Toc180144917"/>
      <w:bookmarkStart w:id="20" w:name="_Toc180145527"/>
      <w:bookmarkStart w:id="21" w:name="_Toc180153641"/>
      <w:bookmarkStart w:id="22" w:name="_Toc180154246"/>
      <w:bookmarkStart w:id="23" w:name="_Toc180154852"/>
      <w:bookmarkStart w:id="24" w:name="_Toc180155460"/>
      <w:bookmarkStart w:id="25" w:name="_Toc18057233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24329F">
        <w:rPr>
          <w:rFonts w:asciiTheme="majorHAnsi" w:hAnsiTheme="majorHAnsi" w:cstheme="majorHAnsi"/>
          <w:sz w:val="20"/>
          <w:szCs w:val="20"/>
        </w:rPr>
        <w:t xml:space="preserve"> </w:t>
      </w:r>
      <w:r w:rsidR="00B70209">
        <w:rPr>
          <w:rFonts w:asciiTheme="majorHAnsi" w:hAnsiTheme="majorHAnsi" w:cstheme="majorHAnsi"/>
          <w:sz w:val="20"/>
          <w:szCs w:val="20"/>
        </w:rPr>
        <w:t>.</w:t>
      </w:r>
    </w:p>
    <w:p w14:paraId="4E70294C" w14:textId="774C851D" w:rsidR="00341715" w:rsidRPr="007966B8" w:rsidRDefault="00341715" w:rsidP="00727D1A">
      <w:pPr>
        <w:pStyle w:val="Titolo2"/>
      </w:pPr>
      <w:bookmarkStart w:id="26" w:name="_Toc181021959"/>
      <w:r>
        <w:t>PROGRAMMA DI INVESTIMENTO</w:t>
      </w:r>
      <w:bookmarkEnd w:id="26"/>
      <w:r w:rsidRPr="007966B8">
        <w:t xml:space="preserve"> </w:t>
      </w:r>
    </w:p>
    <w:p w14:paraId="0FE774F7" w14:textId="15C36672" w:rsidR="00407569" w:rsidRPr="00061714" w:rsidRDefault="00407569" w:rsidP="00727D1A">
      <w:pPr>
        <w:spacing w:after="120" w:line="276" w:lineRule="auto"/>
        <w:jc w:val="both"/>
        <w:rPr>
          <w:rFonts w:asciiTheme="majorHAnsi" w:eastAsia="Times New Roman" w:hAnsiTheme="majorHAnsi" w:cstheme="majorHAnsi"/>
          <w:sz w:val="20"/>
          <w:szCs w:val="20"/>
          <w:lang w:eastAsia="it-IT"/>
        </w:rPr>
      </w:pPr>
      <w:r w:rsidRPr="00061714">
        <w:rPr>
          <w:rFonts w:asciiTheme="majorHAnsi" w:eastAsia="Times New Roman" w:hAnsiTheme="majorHAnsi" w:cstheme="majorHAnsi"/>
          <w:sz w:val="20"/>
          <w:szCs w:val="20"/>
          <w:lang w:eastAsia="it-IT"/>
        </w:rPr>
        <w:t>Il programma di investimento può comprendere molteplici interventi di efficienza energetica e di uso efficiente delle risorse. Ogni intervento deve essere presentato, descritto e approfondito</w:t>
      </w:r>
      <w:r w:rsidR="00016D1D" w:rsidRPr="00061714">
        <w:rPr>
          <w:rFonts w:asciiTheme="majorHAnsi" w:eastAsia="Times New Roman" w:hAnsiTheme="majorHAnsi" w:cstheme="majorHAnsi"/>
          <w:sz w:val="20"/>
          <w:szCs w:val="20"/>
          <w:lang w:eastAsia="it-IT"/>
        </w:rPr>
        <w:t xml:space="preserve"> individualmente</w:t>
      </w:r>
      <w:r w:rsidR="00B70209">
        <w:rPr>
          <w:rFonts w:asciiTheme="majorHAnsi" w:eastAsia="Times New Roman" w:hAnsiTheme="majorHAnsi" w:cstheme="majorHAnsi"/>
          <w:sz w:val="20"/>
          <w:szCs w:val="20"/>
          <w:lang w:eastAsia="it-IT"/>
        </w:rPr>
        <w:t>,</w:t>
      </w:r>
      <w:r w:rsidRPr="00061714">
        <w:rPr>
          <w:rFonts w:asciiTheme="majorHAnsi" w:eastAsia="Times New Roman" w:hAnsiTheme="majorHAnsi" w:cstheme="majorHAnsi"/>
          <w:sz w:val="20"/>
          <w:szCs w:val="20"/>
          <w:lang w:eastAsia="it-IT"/>
        </w:rPr>
        <w:t xml:space="preserve"> all’interno della sua categoria di appartenenza</w:t>
      </w:r>
      <w:r w:rsidR="00B70209">
        <w:rPr>
          <w:rFonts w:asciiTheme="majorHAnsi" w:eastAsia="Times New Roman" w:hAnsiTheme="majorHAnsi" w:cstheme="majorHAnsi"/>
          <w:sz w:val="20"/>
          <w:szCs w:val="20"/>
          <w:lang w:eastAsia="it-IT"/>
        </w:rPr>
        <w:t>,</w:t>
      </w:r>
      <w:r w:rsidR="00D27EC7">
        <w:rPr>
          <w:rFonts w:asciiTheme="majorHAnsi" w:eastAsia="Times New Roman" w:hAnsiTheme="majorHAnsi" w:cstheme="majorHAnsi"/>
          <w:sz w:val="20"/>
          <w:szCs w:val="20"/>
          <w:lang w:eastAsia="it-IT"/>
        </w:rPr>
        <w:t xml:space="preserve"> seguendo il template della Relazione Tecnic</w:t>
      </w:r>
      <w:r w:rsidR="006617C2">
        <w:rPr>
          <w:rFonts w:asciiTheme="majorHAnsi" w:eastAsia="Times New Roman" w:hAnsiTheme="majorHAnsi" w:cstheme="majorHAnsi"/>
          <w:sz w:val="20"/>
          <w:szCs w:val="20"/>
          <w:lang w:eastAsia="it-IT"/>
        </w:rPr>
        <w:t>a</w:t>
      </w:r>
      <w:r w:rsidR="00D27EC7">
        <w:rPr>
          <w:rFonts w:asciiTheme="majorHAnsi" w:eastAsia="Times New Roman" w:hAnsiTheme="majorHAnsi" w:cstheme="majorHAnsi"/>
          <w:sz w:val="20"/>
          <w:szCs w:val="20"/>
          <w:lang w:eastAsia="it-IT"/>
        </w:rPr>
        <w:t>.</w:t>
      </w:r>
    </w:p>
    <w:p w14:paraId="7ACF2530" w14:textId="6A29E429" w:rsidR="00341715" w:rsidRPr="00860105" w:rsidRDefault="00341715" w:rsidP="00727D1A">
      <w:pPr>
        <w:pStyle w:val="Titolo3"/>
      </w:pPr>
      <w:bookmarkStart w:id="27" w:name="_Toc181021960"/>
      <w:r w:rsidRPr="00860105">
        <w:t>Maggiore efficienza energetica</w:t>
      </w:r>
      <w:bookmarkEnd w:id="27"/>
    </w:p>
    <w:p w14:paraId="2709CBD1" w14:textId="6449C72F" w:rsidR="002C7F68" w:rsidRPr="00F35D90" w:rsidRDefault="002C7F68" w:rsidP="00727D1A">
      <w:pPr>
        <w:spacing w:after="120" w:line="276" w:lineRule="auto"/>
        <w:jc w:val="both"/>
        <w:rPr>
          <w:rFonts w:asciiTheme="majorHAnsi" w:eastAsia="Times New Roman" w:hAnsiTheme="majorHAnsi" w:cstheme="majorHAnsi"/>
          <w:sz w:val="20"/>
          <w:szCs w:val="20"/>
          <w:lang w:eastAsia="it-IT"/>
        </w:rPr>
      </w:pPr>
      <w:r w:rsidRPr="00F35D90">
        <w:rPr>
          <w:rFonts w:asciiTheme="majorHAnsi" w:eastAsia="Times New Roman" w:hAnsiTheme="majorHAnsi" w:cstheme="majorHAnsi"/>
          <w:sz w:val="20"/>
          <w:szCs w:val="20"/>
          <w:lang w:eastAsia="it-IT"/>
        </w:rPr>
        <w:t>Rientrano in tal</w:t>
      </w:r>
      <w:r w:rsidR="009F681C" w:rsidRPr="00F35D90">
        <w:rPr>
          <w:rFonts w:asciiTheme="majorHAnsi" w:eastAsia="Times New Roman" w:hAnsiTheme="majorHAnsi" w:cstheme="majorHAnsi"/>
          <w:sz w:val="20"/>
          <w:szCs w:val="20"/>
          <w:lang w:eastAsia="it-IT"/>
        </w:rPr>
        <w:t>e</w:t>
      </w:r>
      <w:r w:rsidRPr="00F35D90">
        <w:rPr>
          <w:rFonts w:asciiTheme="majorHAnsi" w:eastAsia="Times New Roman" w:hAnsiTheme="majorHAnsi" w:cstheme="majorHAnsi"/>
          <w:sz w:val="20"/>
          <w:szCs w:val="20"/>
          <w:lang w:eastAsia="it-IT"/>
        </w:rPr>
        <w:t xml:space="preserve"> fattispecie </w:t>
      </w:r>
      <w:r w:rsidR="009F681C" w:rsidRPr="00F35D90">
        <w:rPr>
          <w:rFonts w:asciiTheme="majorHAnsi" w:eastAsia="Times New Roman" w:hAnsiTheme="majorHAnsi" w:cstheme="majorHAnsi"/>
          <w:sz w:val="20"/>
          <w:szCs w:val="20"/>
          <w:lang w:eastAsia="it-IT"/>
        </w:rPr>
        <w:t xml:space="preserve">gli </w:t>
      </w:r>
      <w:r w:rsidRPr="00F35D90">
        <w:rPr>
          <w:rFonts w:asciiTheme="majorHAnsi" w:eastAsia="Times New Roman" w:hAnsiTheme="majorHAnsi" w:cstheme="majorHAnsi"/>
          <w:sz w:val="20"/>
          <w:szCs w:val="20"/>
          <w:lang w:eastAsia="it-IT"/>
        </w:rPr>
        <w:t xml:space="preserve">interventi che migliorano l’efficienza energetica dell’unità produttiva; sono inclusi gli impianti di </w:t>
      </w:r>
      <w:r w:rsidR="0084699C" w:rsidRPr="00F35D90">
        <w:rPr>
          <w:rFonts w:asciiTheme="majorHAnsi" w:eastAsia="Times New Roman" w:hAnsiTheme="majorHAnsi" w:cstheme="majorHAnsi"/>
          <w:sz w:val="20"/>
          <w:szCs w:val="20"/>
          <w:lang w:eastAsia="it-IT"/>
        </w:rPr>
        <w:t>generazione elettrica</w:t>
      </w:r>
      <w:r w:rsidRPr="00F35D90">
        <w:rPr>
          <w:rFonts w:asciiTheme="majorHAnsi" w:eastAsia="Times New Roman" w:hAnsiTheme="majorHAnsi" w:cstheme="majorHAnsi"/>
          <w:sz w:val="20"/>
          <w:szCs w:val="20"/>
          <w:lang w:eastAsia="it-IT"/>
        </w:rPr>
        <w:t xml:space="preserve"> da fonte rinnovabile</w:t>
      </w:r>
      <w:r w:rsidR="00CE50A3" w:rsidRPr="00F35D90">
        <w:rPr>
          <w:rFonts w:asciiTheme="majorHAnsi" w:eastAsia="Times New Roman" w:hAnsiTheme="majorHAnsi" w:cstheme="majorHAnsi"/>
          <w:sz w:val="20"/>
          <w:szCs w:val="20"/>
          <w:lang w:eastAsia="it-IT"/>
        </w:rPr>
        <w:t>, quest</w:t>
      </w:r>
      <w:r w:rsidR="00E772FE">
        <w:rPr>
          <w:rFonts w:asciiTheme="majorHAnsi" w:eastAsia="Times New Roman" w:hAnsiTheme="majorHAnsi" w:cstheme="majorHAnsi"/>
          <w:sz w:val="20"/>
          <w:szCs w:val="20"/>
          <w:lang w:eastAsia="it-IT"/>
        </w:rPr>
        <w:t xml:space="preserve">i </w:t>
      </w:r>
      <w:r w:rsidR="00CE50A3" w:rsidRPr="00F35D90">
        <w:rPr>
          <w:rFonts w:asciiTheme="majorHAnsi" w:eastAsia="Times New Roman" w:hAnsiTheme="majorHAnsi" w:cstheme="majorHAnsi"/>
          <w:sz w:val="20"/>
          <w:szCs w:val="20"/>
          <w:lang w:eastAsia="it-IT"/>
        </w:rPr>
        <w:t>ultimi devono riferirsi esclusivamente all’art. 41 del GBER</w:t>
      </w:r>
      <w:r w:rsidRPr="00F35D90">
        <w:rPr>
          <w:rFonts w:asciiTheme="majorHAnsi" w:eastAsia="Times New Roman" w:hAnsiTheme="majorHAnsi" w:cstheme="majorHAnsi"/>
          <w:sz w:val="20"/>
          <w:szCs w:val="20"/>
          <w:lang w:eastAsia="it-IT"/>
        </w:rPr>
        <w:t>.</w:t>
      </w:r>
    </w:p>
    <w:p w14:paraId="34CECD3E" w14:textId="4CCE45DC" w:rsidR="0077096D" w:rsidRPr="00F35D90" w:rsidRDefault="0024329F"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Per il calcolo del punteggio</w:t>
      </w:r>
      <w:r w:rsidR="00974764">
        <w:rPr>
          <w:rFonts w:asciiTheme="majorHAnsi" w:hAnsiTheme="majorHAnsi" w:cstheme="majorHAnsi"/>
          <w:sz w:val="20"/>
          <w:szCs w:val="20"/>
        </w:rPr>
        <w:t xml:space="preserve"> </w:t>
      </w:r>
      <w:r>
        <w:rPr>
          <w:rFonts w:asciiTheme="majorHAnsi" w:hAnsiTheme="majorHAnsi" w:cstheme="majorHAnsi"/>
          <w:sz w:val="20"/>
          <w:szCs w:val="20"/>
        </w:rPr>
        <w:t>deve essere effettuato il calcolo dei risparmi, tra situazione ex-ante ed ex-post, sull’intera unità produttiva.</w:t>
      </w:r>
    </w:p>
    <w:p w14:paraId="6FF7A794" w14:textId="16AF936C" w:rsidR="00341715" w:rsidRPr="00CA43B9" w:rsidRDefault="00343B3A" w:rsidP="00727D1A">
      <w:pPr>
        <w:pStyle w:val="Titolo4"/>
        <w:spacing w:before="0" w:line="276" w:lineRule="auto"/>
      </w:pPr>
      <w:r w:rsidRPr="00DC1C7C">
        <w:lastRenderedPageBreak/>
        <w:t>I</w:t>
      </w:r>
      <w:r w:rsidR="00341715" w:rsidRPr="00DC1C7C">
        <w:t xml:space="preserve">ntervento </w:t>
      </w:r>
      <w:r w:rsidR="000A1C1B" w:rsidRPr="00DC1C7C">
        <w:t>n</w:t>
      </w:r>
      <w:r w:rsidR="006617C2">
        <w:t>°</w:t>
      </w:r>
      <w:r w:rsidR="00341715" w:rsidRPr="00DC1C7C">
        <w:t xml:space="preserve"> – </w:t>
      </w:r>
      <w:r w:rsidR="006617C2">
        <w:t>“</w:t>
      </w:r>
      <w:r w:rsidR="00341715" w:rsidRPr="00DC1C7C">
        <w:t>N</w:t>
      </w:r>
      <w:r w:rsidR="00DC1C7C" w:rsidRPr="00DC1C7C">
        <w:t>o</w:t>
      </w:r>
      <w:r w:rsidR="00341715" w:rsidRPr="00DC1C7C">
        <w:t>me intervento</w:t>
      </w:r>
      <w:r w:rsidR="006617C2">
        <w:t>”</w:t>
      </w:r>
    </w:p>
    <w:p w14:paraId="63B5AE44" w14:textId="68B75B04" w:rsidR="000A1C1B" w:rsidRDefault="000A1C1B" w:rsidP="00727D1A">
      <w:pPr>
        <w:spacing w:after="120" w:line="276" w:lineRule="auto"/>
        <w:jc w:val="both"/>
        <w:rPr>
          <w:rFonts w:asciiTheme="majorHAnsi" w:eastAsia="Times New Roman" w:hAnsiTheme="majorHAnsi" w:cstheme="majorHAnsi"/>
          <w:b/>
          <w:bCs/>
          <w:sz w:val="20"/>
          <w:szCs w:val="20"/>
          <w:lang w:eastAsia="it-IT"/>
        </w:rPr>
      </w:pPr>
      <w:r w:rsidRPr="00DC1C7C">
        <w:rPr>
          <w:rFonts w:asciiTheme="majorHAnsi" w:eastAsia="Times New Roman" w:hAnsiTheme="majorHAnsi" w:cstheme="majorHAnsi"/>
          <w:sz w:val="20"/>
          <w:szCs w:val="20"/>
          <w:lang w:eastAsia="it-IT"/>
        </w:rPr>
        <w:t xml:space="preserve">Per ogni singolo intervento, </w:t>
      </w:r>
      <w:r w:rsidR="006A570C" w:rsidRPr="00DC1C7C">
        <w:rPr>
          <w:rFonts w:asciiTheme="majorHAnsi" w:eastAsia="Times New Roman" w:hAnsiTheme="majorHAnsi" w:cstheme="majorHAnsi"/>
          <w:sz w:val="20"/>
          <w:szCs w:val="20"/>
          <w:lang w:eastAsia="it-IT"/>
        </w:rPr>
        <w:t>replicare e compilare i paragrafi</w:t>
      </w:r>
      <w:r w:rsidR="00F50F2A" w:rsidRPr="00DC1C7C">
        <w:rPr>
          <w:rFonts w:asciiTheme="majorHAnsi" w:eastAsia="Times New Roman" w:hAnsiTheme="majorHAnsi" w:cstheme="majorHAnsi"/>
          <w:sz w:val="20"/>
          <w:szCs w:val="20"/>
          <w:lang w:eastAsia="it-IT"/>
        </w:rPr>
        <w:t xml:space="preserve"> con il relativo contenuto</w:t>
      </w:r>
      <w:r w:rsidR="006A570C" w:rsidRPr="00DC1C7C">
        <w:rPr>
          <w:rFonts w:asciiTheme="majorHAnsi" w:eastAsia="Times New Roman" w:hAnsiTheme="majorHAnsi" w:cstheme="majorHAnsi"/>
          <w:sz w:val="20"/>
          <w:szCs w:val="20"/>
          <w:lang w:eastAsia="it-IT"/>
        </w:rPr>
        <w:t>:</w:t>
      </w:r>
      <w:r w:rsidR="006A570C" w:rsidRPr="00DC1C7C">
        <w:rPr>
          <w:rFonts w:asciiTheme="majorHAnsi" w:eastAsia="Times New Roman" w:hAnsiTheme="majorHAnsi" w:cstheme="majorHAnsi"/>
          <w:b/>
          <w:bCs/>
          <w:sz w:val="20"/>
          <w:szCs w:val="20"/>
          <w:lang w:eastAsia="it-IT"/>
        </w:rPr>
        <w:t xml:space="preserve"> Intervento n</w:t>
      </w:r>
      <w:r w:rsidR="006617C2">
        <w:rPr>
          <w:rFonts w:asciiTheme="majorHAnsi" w:eastAsia="Times New Roman" w:hAnsiTheme="majorHAnsi" w:cstheme="majorHAnsi"/>
          <w:b/>
          <w:bCs/>
          <w:sz w:val="20"/>
          <w:szCs w:val="20"/>
          <w:lang w:eastAsia="it-IT"/>
        </w:rPr>
        <w:t>°</w:t>
      </w:r>
      <w:r w:rsidR="006A570C" w:rsidRPr="00DC1C7C">
        <w:rPr>
          <w:rFonts w:asciiTheme="majorHAnsi" w:eastAsia="Times New Roman" w:hAnsiTheme="majorHAnsi" w:cstheme="majorHAnsi"/>
          <w:b/>
          <w:bCs/>
          <w:sz w:val="20"/>
          <w:szCs w:val="20"/>
          <w:lang w:eastAsia="it-IT"/>
        </w:rPr>
        <w:t xml:space="preserve"> – Nome intervento, Descrizione, Quantificazione </w:t>
      </w:r>
      <w:r w:rsidR="00DC1C7C">
        <w:rPr>
          <w:rFonts w:asciiTheme="majorHAnsi" w:eastAsia="Times New Roman" w:hAnsiTheme="majorHAnsi" w:cstheme="majorHAnsi"/>
          <w:b/>
          <w:bCs/>
          <w:sz w:val="20"/>
          <w:szCs w:val="20"/>
          <w:lang w:eastAsia="it-IT"/>
        </w:rPr>
        <w:t>obiettivi</w:t>
      </w:r>
      <w:r w:rsidR="006A570C" w:rsidRPr="00DC1C7C">
        <w:rPr>
          <w:rFonts w:asciiTheme="majorHAnsi" w:eastAsia="Times New Roman" w:hAnsiTheme="majorHAnsi" w:cstheme="majorHAnsi"/>
          <w:b/>
          <w:bCs/>
          <w:sz w:val="20"/>
          <w:szCs w:val="20"/>
          <w:lang w:eastAsia="it-IT"/>
        </w:rPr>
        <w:t xml:space="preserve"> ambientali, Spese di investimento, Quadro analitico delle spese, Ipotesi di scenario controfattuale.</w:t>
      </w:r>
    </w:p>
    <w:p w14:paraId="43BFAC1C" w14:textId="5A2584B1" w:rsidR="00DC1C7C" w:rsidRPr="006617C2" w:rsidRDefault="00DC1C7C" w:rsidP="00727D1A">
      <w:pPr>
        <w:spacing w:after="120" w:line="276" w:lineRule="auto"/>
        <w:jc w:val="both"/>
        <w:rPr>
          <w:rFonts w:asciiTheme="majorHAnsi" w:eastAsia="Times New Roman" w:hAnsiTheme="majorHAnsi" w:cstheme="majorHAnsi"/>
          <w:strike/>
          <w:sz w:val="20"/>
          <w:szCs w:val="20"/>
          <w:lang w:eastAsia="it-IT"/>
        </w:rPr>
      </w:pPr>
      <w:r w:rsidRPr="00125134">
        <w:rPr>
          <w:rFonts w:asciiTheme="majorHAnsi" w:eastAsia="Times New Roman" w:hAnsiTheme="majorHAnsi" w:cstheme="majorHAnsi"/>
          <w:sz w:val="20"/>
          <w:szCs w:val="20"/>
          <w:lang w:eastAsia="it-IT"/>
        </w:rPr>
        <w:t>Si rammenta che per le imprese energivore è necessaria</w:t>
      </w:r>
      <w:r w:rsidR="006617C2" w:rsidRPr="00125134">
        <w:rPr>
          <w:rFonts w:asciiTheme="majorHAnsi" w:eastAsia="Times New Roman" w:hAnsiTheme="majorHAnsi" w:cstheme="majorHAnsi"/>
          <w:sz w:val="20"/>
          <w:szCs w:val="20"/>
          <w:lang w:eastAsia="it-IT"/>
        </w:rPr>
        <w:t xml:space="preserve"> oltre alla presentazione della diagnosi energetica anche la trasmissione della specifica DSAN Imprese energivore, come richiesto ai sensi dell’art. 4 comma 5 lettera g) del DD</w:t>
      </w:r>
      <w:r w:rsidR="00B66B67">
        <w:rPr>
          <w:rFonts w:asciiTheme="majorHAnsi" w:eastAsia="Times New Roman" w:hAnsiTheme="majorHAnsi" w:cstheme="majorHAnsi"/>
          <w:sz w:val="20"/>
          <w:szCs w:val="20"/>
          <w:lang w:eastAsia="it-IT"/>
        </w:rPr>
        <w:t xml:space="preserve"> 23 dicembre 2024</w:t>
      </w:r>
      <w:r w:rsidR="006617C2" w:rsidRPr="00125134">
        <w:rPr>
          <w:rFonts w:asciiTheme="majorHAnsi" w:eastAsia="Times New Roman" w:hAnsiTheme="majorHAnsi" w:cstheme="majorHAnsi"/>
          <w:sz w:val="20"/>
          <w:szCs w:val="20"/>
          <w:lang w:eastAsia="it-IT"/>
        </w:rPr>
        <w:t>.</w:t>
      </w:r>
      <w:r w:rsidRPr="00125134">
        <w:rPr>
          <w:rFonts w:asciiTheme="majorHAnsi" w:eastAsia="Times New Roman" w:hAnsiTheme="majorHAnsi" w:cstheme="majorHAnsi"/>
          <w:sz w:val="20"/>
          <w:szCs w:val="20"/>
          <w:lang w:eastAsia="it-IT"/>
        </w:rPr>
        <w:t xml:space="preserve"> </w:t>
      </w:r>
    </w:p>
    <w:p w14:paraId="7AC856FC" w14:textId="7F49B976" w:rsidR="006617C2" w:rsidRDefault="006617C2" w:rsidP="00727D1A">
      <w:pPr>
        <w:spacing w:after="120" w:line="276" w:lineRule="auto"/>
        <w:jc w:val="both"/>
        <w:rPr>
          <w:rFonts w:asciiTheme="majorHAnsi" w:eastAsia="Times New Roman" w:hAnsiTheme="majorHAnsi" w:cstheme="majorHAnsi"/>
          <w:sz w:val="20"/>
          <w:szCs w:val="20"/>
          <w:lang w:eastAsia="it-IT"/>
        </w:rPr>
      </w:pPr>
      <w:r w:rsidRPr="006617C2">
        <w:rPr>
          <w:rFonts w:asciiTheme="majorHAnsi" w:eastAsia="Times New Roman" w:hAnsiTheme="majorHAnsi" w:cstheme="majorHAnsi"/>
          <w:sz w:val="20"/>
          <w:szCs w:val="20"/>
          <w:lang w:eastAsia="it-IT"/>
        </w:rPr>
        <w:t>Si rammenta che</w:t>
      </w:r>
      <w:r>
        <w:rPr>
          <w:rFonts w:asciiTheme="majorHAnsi" w:eastAsia="Times New Roman" w:hAnsiTheme="majorHAnsi" w:cstheme="majorHAnsi"/>
          <w:sz w:val="20"/>
          <w:szCs w:val="20"/>
          <w:lang w:eastAsia="it-IT"/>
        </w:rPr>
        <w:t>,</w:t>
      </w:r>
      <w:r w:rsidRPr="006617C2">
        <w:rPr>
          <w:rFonts w:asciiTheme="majorHAnsi" w:eastAsia="Times New Roman" w:hAnsiTheme="majorHAnsi" w:cstheme="majorHAnsi"/>
          <w:sz w:val="20"/>
          <w:szCs w:val="20"/>
          <w:lang w:eastAsia="it-IT"/>
        </w:rPr>
        <w:t xml:space="preserve"> </w:t>
      </w:r>
      <w:r>
        <w:rPr>
          <w:rFonts w:asciiTheme="majorHAnsi" w:eastAsia="Times New Roman" w:hAnsiTheme="majorHAnsi" w:cstheme="majorHAnsi"/>
          <w:sz w:val="20"/>
          <w:szCs w:val="20"/>
          <w:lang w:eastAsia="it-IT"/>
        </w:rPr>
        <w:t>con riferimento ai soli interventi presentati ai sensi dell’art. 38 GBER,</w:t>
      </w:r>
      <w:r w:rsidRPr="006617C2">
        <w:rPr>
          <w:rFonts w:asciiTheme="majorHAnsi" w:eastAsia="Times New Roman" w:hAnsiTheme="majorHAnsi" w:cstheme="majorHAnsi"/>
          <w:sz w:val="20"/>
          <w:szCs w:val="20"/>
          <w:lang w:eastAsia="it-IT"/>
        </w:rPr>
        <w:t xml:space="preserve"> </w:t>
      </w:r>
      <w:r>
        <w:rPr>
          <w:rFonts w:asciiTheme="majorHAnsi" w:eastAsia="Times New Roman" w:hAnsiTheme="majorHAnsi" w:cstheme="majorHAnsi"/>
          <w:sz w:val="20"/>
          <w:szCs w:val="20"/>
          <w:lang w:eastAsia="it-IT"/>
        </w:rPr>
        <w:t xml:space="preserve">gli stessi non possono </w:t>
      </w:r>
      <w:r w:rsidRPr="006617C2">
        <w:rPr>
          <w:rFonts w:asciiTheme="majorHAnsi" w:eastAsia="Times New Roman" w:hAnsiTheme="majorHAnsi" w:cstheme="majorHAnsi"/>
          <w:sz w:val="20"/>
          <w:szCs w:val="20"/>
          <w:lang w:eastAsia="it-IT"/>
        </w:rPr>
        <w:t xml:space="preserve">riguardare l’installazione di apparecchiature energetiche alimentate a combustibili fossili. 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  </w:t>
      </w:r>
    </w:p>
    <w:p w14:paraId="61775218" w14:textId="49F8C80D" w:rsidR="00727D1A" w:rsidRPr="00727D1A" w:rsidRDefault="00727D1A" w:rsidP="00727D1A">
      <w:pPr>
        <w:pStyle w:val="Titolo4"/>
        <w:spacing w:before="0" w:line="276" w:lineRule="auto"/>
        <w:ind w:right="-1"/>
        <w:rPr>
          <w:rFonts w:eastAsia="Times New Roman"/>
          <w:b w:val="0"/>
          <w:bCs w:val="0"/>
          <w:lang w:eastAsia="it-IT"/>
        </w:rPr>
      </w:pPr>
      <w:r w:rsidRPr="00727D1A">
        <w:rPr>
          <w:rFonts w:eastAsia="Times New Roman"/>
          <w:b w:val="0"/>
          <w:bCs w:val="0"/>
          <w:lang w:eastAsia="it-IT"/>
        </w:rPr>
        <w:t xml:space="preserve">Si rammenta che l’intervento non può riguardare l’installazione di apparecchiature energetiche alimentate a combustibili fossili. 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 </w:t>
      </w:r>
      <w:r w:rsidR="009334E5">
        <w:rPr>
          <w:rFonts w:eastAsia="Times New Roman"/>
          <w:b w:val="0"/>
          <w:bCs w:val="0"/>
          <w:lang w:eastAsia="it-IT"/>
        </w:rPr>
        <w:t xml:space="preserve">Ref. </w:t>
      </w:r>
      <w:r w:rsidRPr="00727D1A">
        <w:rPr>
          <w:rFonts w:eastAsia="Times New Roman"/>
          <w:lang w:eastAsia="it-IT"/>
        </w:rPr>
        <w:t>Circolare direttoriale 18 ottobre 2024, n. 42944.</w:t>
      </w:r>
      <w:r w:rsidRPr="00727D1A">
        <w:rPr>
          <w:rFonts w:eastAsia="Times New Roman"/>
          <w:b w:val="0"/>
          <w:bCs w:val="0"/>
          <w:lang w:eastAsia="it-IT"/>
        </w:rPr>
        <w:t xml:space="preserve"> </w:t>
      </w:r>
    </w:p>
    <w:p w14:paraId="61BE7C19" w14:textId="01D4F2E8" w:rsidR="00341715" w:rsidRDefault="00341715" w:rsidP="00727D1A">
      <w:pPr>
        <w:pStyle w:val="Titolo4"/>
        <w:spacing w:before="0" w:line="276" w:lineRule="auto"/>
      </w:pPr>
      <w:r>
        <w:t xml:space="preserve">Quantificazione </w:t>
      </w:r>
      <w:r w:rsidR="00DC1C7C">
        <w:t>obiettivi</w:t>
      </w:r>
      <w:r>
        <w:t xml:space="preserve"> ambientali</w:t>
      </w:r>
    </w:p>
    <w:p w14:paraId="5CAF4F5F" w14:textId="04AB85A0" w:rsidR="00CD22D2" w:rsidRPr="007966B8" w:rsidRDefault="00CD22D2" w:rsidP="00727D1A">
      <w:pPr>
        <w:spacing w:after="120" w:line="276" w:lineRule="auto"/>
        <w:jc w:val="both"/>
        <w:rPr>
          <w:rFonts w:asciiTheme="majorHAnsi" w:hAnsiTheme="majorHAnsi" w:cstheme="majorHAnsi"/>
          <w:sz w:val="20"/>
          <w:szCs w:val="20"/>
        </w:rPr>
      </w:pPr>
      <w:r w:rsidRPr="00CD22D2">
        <w:rPr>
          <w:rFonts w:asciiTheme="majorHAnsi" w:hAnsiTheme="majorHAnsi" w:cstheme="majorHAnsi"/>
          <w:sz w:val="20"/>
          <w:szCs w:val="20"/>
        </w:rPr>
        <w:t xml:space="preserve">La quantificazione dei </w:t>
      </w:r>
      <w:r w:rsidRPr="00CD22D2">
        <w:rPr>
          <w:rFonts w:asciiTheme="majorHAnsi" w:eastAsia="Times New Roman" w:hAnsiTheme="majorHAnsi" w:cstheme="majorHAnsi"/>
          <w:sz w:val="20"/>
          <w:szCs w:val="20"/>
          <w:lang w:eastAsia="it-IT"/>
        </w:rPr>
        <w:t>risparmi</w:t>
      </w:r>
      <w:r w:rsidRPr="00CD22D2">
        <w:rPr>
          <w:rFonts w:asciiTheme="majorHAnsi" w:hAnsiTheme="majorHAnsi" w:cstheme="majorHAnsi"/>
          <w:sz w:val="20"/>
          <w:szCs w:val="20"/>
        </w:rPr>
        <w:t xml:space="preserve"> deve essere seguita </w:t>
      </w:r>
      <w:r w:rsidR="00F2102D">
        <w:rPr>
          <w:rFonts w:asciiTheme="majorHAnsi" w:hAnsiTheme="majorHAnsi" w:cstheme="majorHAnsi"/>
          <w:sz w:val="20"/>
          <w:szCs w:val="20"/>
        </w:rPr>
        <w:t>considerando i consumi del</w:t>
      </w:r>
      <w:r w:rsidRPr="00CD22D2">
        <w:rPr>
          <w:rFonts w:asciiTheme="majorHAnsi" w:hAnsiTheme="majorHAnsi" w:cstheme="majorHAnsi"/>
          <w:sz w:val="20"/>
          <w:szCs w:val="20"/>
        </w:rPr>
        <w:t>l’intera unità produttiva.</w:t>
      </w:r>
      <w:r>
        <w:rPr>
          <w:rFonts w:asciiTheme="majorHAnsi" w:hAnsiTheme="majorHAnsi" w:cstheme="majorHAnsi"/>
          <w:sz w:val="20"/>
          <w:szCs w:val="20"/>
        </w:rPr>
        <w:t xml:space="preserve"> </w:t>
      </w:r>
    </w:p>
    <w:p w14:paraId="29106A16" w14:textId="77777777" w:rsidR="007A73A4" w:rsidRDefault="000B1F9D" w:rsidP="00727D1A">
      <w:pPr>
        <w:spacing w:after="120" w:line="276" w:lineRule="auto"/>
        <w:jc w:val="both"/>
        <w:rPr>
          <w:rFonts w:asciiTheme="majorHAnsi" w:eastAsia="Times New Roman" w:hAnsiTheme="majorHAnsi" w:cstheme="majorHAnsi"/>
          <w:sz w:val="20"/>
          <w:szCs w:val="20"/>
          <w:lang w:eastAsia="it-IT"/>
        </w:rPr>
      </w:pPr>
      <w:r w:rsidRPr="000B1F9D">
        <w:rPr>
          <w:rFonts w:asciiTheme="majorHAnsi" w:eastAsia="Times New Roman" w:hAnsiTheme="majorHAnsi" w:cstheme="majorHAnsi"/>
          <w:sz w:val="20"/>
          <w:szCs w:val="20"/>
          <w:lang w:eastAsia="it-IT"/>
        </w:rPr>
        <w:t>Si specifica che per ogni intervento bisogna dettagliare</w:t>
      </w:r>
      <w:r w:rsidR="00B70209">
        <w:rPr>
          <w:rFonts w:asciiTheme="majorHAnsi" w:eastAsia="Times New Roman" w:hAnsiTheme="majorHAnsi" w:cstheme="majorHAnsi"/>
          <w:sz w:val="20"/>
          <w:szCs w:val="20"/>
          <w:lang w:eastAsia="it-IT"/>
        </w:rPr>
        <w:t>,</w:t>
      </w:r>
      <w:r w:rsidRPr="000B1F9D">
        <w:rPr>
          <w:rFonts w:asciiTheme="majorHAnsi" w:eastAsia="Times New Roman" w:hAnsiTheme="majorHAnsi" w:cstheme="majorHAnsi"/>
          <w:sz w:val="20"/>
          <w:szCs w:val="20"/>
          <w:lang w:eastAsia="it-IT"/>
        </w:rPr>
        <w:t xml:space="preserve"> </w:t>
      </w:r>
      <w:r w:rsidR="009F681C" w:rsidRPr="000B1F9D">
        <w:rPr>
          <w:rFonts w:asciiTheme="majorHAnsi" w:eastAsia="Times New Roman" w:hAnsiTheme="majorHAnsi" w:cstheme="majorHAnsi"/>
          <w:sz w:val="20"/>
          <w:szCs w:val="20"/>
          <w:lang w:eastAsia="it-IT"/>
        </w:rPr>
        <w:t>sia a livello quantitativo che qualitativo</w:t>
      </w:r>
      <w:r w:rsidR="00B70209">
        <w:rPr>
          <w:rFonts w:asciiTheme="majorHAnsi" w:eastAsia="Times New Roman" w:hAnsiTheme="majorHAnsi" w:cstheme="majorHAnsi"/>
          <w:sz w:val="20"/>
          <w:szCs w:val="20"/>
          <w:lang w:eastAsia="it-IT"/>
        </w:rPr>
        <w:t>,</w:t>
      </w:r>
      <w:r w:rsidR="009F681C" w:rsidRPr="000B1F9D">
        <w:rPr>
          <w:rFonts w:asciiTheme="majorHAnsi" w:eastAsia="Times New Roman" w:hAnsiTheme="majorHAnsi" w:cstheme="majorHAnsi"/>
          <w:sz w:val="20"/>
          <w:szCs w:val="20"/>
          <w:lang w:eastAsia="it-IT"/>
        </w:rPr>
        <w:t xml:space="preserve"> gli eventuali impatti negativi degli interventi proposti</w:t>
      </w:r>
      <w:r w:rsidR="00E772FE">
        <w:rPr>
          <w:rFonts w:asciiTheme="majorHAnsi" w:eastAsia="Times New Roman" w:hAnsiTheme="majorHAnsi" w:cstheme="majorHAnsi"/>
          <w:sz w:val="20"/>
          <w:szCs w:val="20"/>
          <w:lang w:eastAsia="it-IT"/>
        </w:rPr>
        <w:t>,</w:t>
      </w:r>
      <w:r w:rsidR="009F681C" w:rsidRPr="000B1F9D">
        <w:rPr>
          <w:rFonts w:asciiTheme="majorHAnsi" w:eastAsia="Times New Roman" w:hAnsiTheme="majorHAnsi" w:cstheme="majorHAnsi"/>
          <w:sz w:val="20"/>
          <w:szCs w:val="20"/>
          <w:lang w:eastAsia="it-IT"/>
        </w:rPr>
        <w:t xml:space="preserve"> quali ad esempio un maggior consumo energetico, un maggior consumo di materie prime o un maggior conferimento in discarica di rifiuti rispetto alla situazione ex-ante</w:t>
      </w:r>
      <w:r w:rsidR="007A73A4">
        <w:rPr>
          <w:rFonts w:asciiTheme="majorHAnsi" w:eastAsia="Times New Roman" w:hAnsiTheme="majorHAnsi" w:cstheme="majorHAnsi"/>
          <w:sz w:val="20"/>
          <w:szCs w:val="20"/>
          <w:lang w:eastAsia="it-IT"/>
        </w:rPr>
        <w:t>.</w:t>
      </w:r>
    </w:p>
    <w:p w14:paraId="78BB7A2E" w14:textId="1DDFAD84" w:rsidR="009F681C" w:rsidRDefault="00A85D15" w:rsidP="00727D1A">
      <w:pPr>
        <w:spacing w:after="120" w:line="276" w:lineRule="auto"/>
        <w:contextualSpacing/>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9F681C" w:rsidRPr="000B1F9D">
        <w:rPr>
          <w:rFonts w:asciiTheme="majorHAnsi" w:eastAsia="Times New Roman" w:hAnsiTheme="majorHAnsi" w:cstheme="majorHAnsi"/>
          <w:sz w:val="20"/>
          <w:szCs w:val="20"/>
          <w:lang w:eastAsia="it-IT"/>
        </w:rPr>
        <w:t xml:space="preserve"> un intervento di </w:t>
      </w:r>
      <w:r w:rsidR="00A14957" w:rsidRPr="000B1F9D">
        <w:rPr>
          <w:rFonts w:asciiTheme="majorHAnsi" w:eastAsia="Times New Roman" w:hAnsiTheme="majorHAnsi" w:cstheme="majorHAnsi"/>
          <w:sz w:val="20"/>
          <w:szCs w:val="20"/>
          <w:lang w:eastAsia="it-IT"/>
        </w:rPr>
        <w:t>efficienza energetica</w:t>
      </w:r>
      <w:r w:rsidR="009F681C" w:rsidRPr="000B1F9D">
        <w:rPr>
          <w:rFonts w:asciiTheme="majorHAnsi" w:eastAsia="Times New Roman" w:hAnsiTheme="majorHAnsi" w:cstheme="majorHAnsi"/>
          <w:sz w:val="20"/>
          <w:szCs w:val="20"/>
          <w:lang w:eastAsia="it-IT"/>
        </w:rPr>
        <w:t xml:space="preserve"> prevede </w:t>
      </w:r>
      <w:r w:rsidR="00A14957" w:rsidRPr="000B1F9D">
        <w:rPr>
          <w:rFonts w:asciiTheme="majorHAnsi" w:eastAsia="Times New Roman" w:hAnsiTheme="majorHAnsi" w:cstheme="majorHAnsi"/>
          <w:sz w:val="20"/>
          <w:szCs w:val="20"/>
          <w:lang w:eastAsia="it-IT"/>
        </w:rPr>
        <w:t>la sostituzione di un componente del processo produttivo e, contestualmente, l’installazione di macchinari</w:t>
      </w:r>
      <w:r w:rsidR="007719AA" w:rsidRPr="000B1F9D">
        <w:rPr>
          <w:rFonts w:asciiTheme="majorHAnsi" w:eastAsia="Times New Roman" w:hAnsiTheme="majorHAnsi" w:cstheme="majorHAnsi"/>
          <w:sz w:val="20"/>
          <w:szCs w:val="20"/>
          <w:lang w:eastAsia="it-IT"/>
        </w:rPr>
        <w:t xml:space="preserve"> ausiliari</w:t>
      </w:r>
      <w:r w:rsidR="00A14957" w:rsidRPr="000B1F9D">
        <w:rPr>
          <w:rFonts w:asciiTheme="majorHAnsi" w:eastAsia="Times New Roman" w:hAnsiTheme="majorHAnsi" w:cstheme="majorHAnsi"/>
          <w:sz w:val="20"/>
          <w:szCs w:val="20"/>
          <w:lang w:eastAsia="it-IT"/>
        </w:rPr>
        <w:t xml:space="preserve"> aggiuntivi</w:t>
      </w:r>
      <w:r w:rsidR="007719AA" w:rsidRPr="000B1F9D">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necessari per il funzionamento</w:t>
      </w:r>
      <w:r w:rsidR="007719AA" w:rsidRPr="000B1F9D">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non presenti in precedenza.</w:t>
      </w:r>
      <w:r w:rsidR="009F681C" w:rsidRPr="000B1F9D">
        <w:rPr>
          <w:rFonts w:asciiTheme="majorHAnsi" w:eastAsia="Times New Roman" w:hAnsiTheme="majorHAnsi" w:cstheme="majorHAnsi"/>
          <w:sz w:val="20"/>
          <w:szCs w:val="20"/>
          <w:lang w:eastAsia="it-IT"/>
        </w:rPr>
        <w:t xml:space="preserve"> </w:t>
      </w:r>
      <w:r w:rsidR="00A14957" w:rsidRPr="000B1F9D">
        <w:rPr>
          <w:rFonts w:asciiTheme="majorHAnsi" w:eastAsia="Times New Roman" w:hAnsiTheme="majorHAnsi" w:cstheme="majorHAnsi"/>
          <w:sz w:val="20"/>
          <w:szCs w:val="20"/>
          <w:lang w:eastAsia="it-IT"/>
        </w:rPr>
        <w:t>In tal caso</w:t>
      </w:r>
      <w:r w:rsidR="00B70209">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bisognerà valutare la variazione dei</w:t>
      </w:r>
      <w:r w:rsidR="009F681C" w:rsidRPr="000B1F9D">
        <w:rPr>
          <w:rFonts w:asciiTheme="majorHAnsi" w:eastAsia="Times New Roman" w:hAnsiTheme="majorHAnsi" w:cstheme="majorHAnsi"/>
          <w:sz w:val="20"/>
          <w:szCs w:val="20"/>
          <w:lang w:eastAsia="it-IT"/>
        </w:rPr>
        <w:t xml:space="preserve"> consumi rispetto alla situazione ex ante</w:t>
      </w:r>
      <w:r w:rsidR="00A14957" w:rsidRPr="000B1F9D">
        <w:rPr>
          <w:rFonts w:asciiTheme="majorHAnsi" w:eastAsia="Times New Roman" w:hAnsiTheme="majorHAnsi" w:cstheme="majorHAnsi"/>
          <w:sz w:val="20"/>
          <w:szCs w:val="20"/>
          <w:lang w:eastAsia="it-IT"/>
        </w:rPr>
        <w:t xml:space="preserve"> e considerare nel calcolo del risparmio l’eventuale aggravio energetico emergente</w:t>
      </w:r>
      <w:r w:rsidR="009F681C" w:rsidRPr="000B1F9D">
        <w:rPr>
          <w:rFonts w:asciiTheme="majorHAnsi" w:eastAsia="Times New Roman" w:hAnsiTheme="majorHAnsi" w:cstheme="majorHAnsi"/>
          <w:sz w:val="20"/>
          <w:szCs w:val="20"/>
          <w:lang w:eastAsia="it-IT"/>
        </w:rPr>
        <w:t>).</w:t>
      </w:r>
    </w:p>
    <w:p w14:paraId="2302F61A" w14:textId="77777777" w:rsidR="007A73A4" w:rsidRDefault="000B1F9D" w:rsidP="00727D1A">
      <w:pPr>
        <w:spacing w:after="120" w:line="276" w:lineRule="auto"/>
        <w:jc w:val="both"/>
        <w:rPr>
          <w:rFonts w:asciiTheme="majorHAnsi" w:hAnsiTheme="majorHAnsi" w:cstheme="majorHAnsi"/>
          <w:sz w:val="20"/>
          <w:szCs w:val="20"/>
        </w:rPr>
      </w:pPr>
      <w:r w:rsidRPr="000B1F9D">
        <w:rPr>
          <w:rFonts w:asciiTheme="majorHAnsi" w:hAnsiTheme="majorHAnsi" w:cstheme="majorHAnsi"/>
          <w:sz w:val="20"/>
          <w:szCs w:val="20"/>
        </w:rPr>
        <w:t>Si specifica che</w:t>
      </w:r>
      <w:r w:rsidR="00B70209">
        <w:rPr>
          <w:rFonts w:asciiTheme="majorHAnsi" w:hAnsiTheme="majorHAnsi" w:cstheme="majorHAnsi"/>
          <w:sz w:val="20"/>
          <w:szCs w:val="20"/>
        </w:rPr>
        <w:t xml:space="preserve">, </w:t>
      </w:r>
      <w:r w:rsidRPr="000B1F9D">
        <w:rPr>
          <w:rFonts w:asciiTheme="majorHAnsi" w:hAnsiTheme="majorHAnsi" w:cstheme="majorHAnsi"/>
          <w:sz w:val="20"/>
          <w:szCs w:val="20"/>
        </w:rPr>
        <w:t>c</w:t>
      </w:r>
      <w:r w:rsidR="009F681C" w:rsidRPr="000B1F9D">
        <w:rPr>
          <w:rFonts w:asciiTheme="majorHAnsi" w:hAnsiTheme="majorHAnsi" w:cstheme="majorHAnsi"/>
          <w:sz w:val="20"/>
          <w:szCs w:val="20"/>
        </w:rPr>
        <w:t xml:space="preserve">on riferimento all’intero programma di investimento, sia </w:t>
      </w:r>
      <w:r w:rsidRPr="000B1F9D">
        <w:rPr>
          <w:rFonts w:asciiTheme="majorHAnsi" w:hAnsiTheme="majorHAnsi" w:cstheme="majorHAnsi"/>
          <w:sz w:val="20"/>
          <w:szCs w:val="20"/>
        </w:rPr>
        <w:t>ne</w:t>
      </w:r>
      <w:r w:rsidR="009F681C" w:rsidRPr="000B1F9D">
        <w:rPr>
          <w:rFonts w:asciiTheme="majorHAnsi" w:hAnsiTheme="majorHAnsi" w:cstheme="majorHAnsi"/>
          <w:sz w:val="20"/>
          <w:szCs w:val="20"/>
        </w:rPr>
        <w:t xml:space="preserve">ll’ambito dell’efficienza energetica che della circolarità delle risorse, </w:t>
      </w:r>
      <w:r w:rsidRPr="000B1F9D">
        <w:rPr>
          <w:rFonts w:asciiTheme="majorHAnsi" w:hAnsiTheme="majorHAnsi" w:cstheme="majorHAnsi"/>
          <w:sz w:val="20"/>
          <w:szCs w:val="20"/>
        </w:rPr>
        <w:t>è necessario</w:t>
      </w:r>
      <w:r w:rsidR="009F681C" w:rsidRPr="000B1F9D">
        <w:rPr>
          <w:rFonts w:asciiTheme="majorHAnsi" w:hAnsiTheme="majorHAnsi" w:cstheme="majorHAnsi"/>
          <w:sz w:val="20"/>
          <w:szCs w:val="20"/>
        </w:rPr>
        <w:t xml:space="preserve"> dettagliare</w:t>
      </w:r>
      <w:r w:rsidR="00B70209">
        <w:rPr>
          <w:rFonts w:asciiTheme="majorHAnsi" w:hAnsiTheme="majorHAnsi" w:cstheme="majorHAnsi"/>
          <w:sz w:val="20"/>
          <w:szCs w:val="20"/>
        </w:rPr>
        <w:t>,</w:t>
      </w:r>
      <w:r w:rsidR="009F681C" w:rsidRPr="000B1F9D">
        <w:rPr>
          <w:rFonts w:asciiTheme="majorHAnsi" w:hAnsiTheme="majorHAnsi" w:cstheme="majorHAnsi"/>
          <w:sz w:val="20"/>
          <w:szCs w:val="20"/>
        </w:rPr>
        <w:t xml:space="preserve"> a livello quantitativo e qualitativo</w:t>
      </w:r>
      <w:r w:rsidR="00B70209">
        <w:rPr>
          <w:rFonts w:asciiTheme="majorHAnsi" w:hAnsiTheme="majorHAnsi" w:cstheme="majorHAnsi"/>
          <w:sz w:val="20"/>
          <w:szCs w:val="20"/>
        </w:rPr>
        <w:t>,</w:t>
      </w:r>
      <w:r w:rsidR="009F681C" w:rsidRPr="000B1F9D">
        <w:rPr>
          <w:rFonts w:asciiTheme="majorHAnsi" w:hAnsiTheme="majorHAnsi" w:cstheme="majorHAnsi"/>
          <w:sz w:val="20"/>
          <w:szCs w:val="20"/>
        </w:rPr>
        <w:t xml:space="preserve"> gli eventuali effetti interattivi derivanti dai diversi interventi proposti</w:t>
      </w:r>
      <w:r w:rsidR="007A73A4">
        <w:rPr>
          <w:rFonts w:asciiTheme="majorHAnsi" w:hAnsiTheme="majorHAnsi" w:cstheme="majorHAnsi"/>
          <w:sz w:val="20"/>
          <w:szCs w:val="20"/>
        </w:rPr>
        <w:t>.</w:t>
      </w:r>
    </w:p>
    <w:p w14:paraId="4E4D72CB" w14:textId="263B3E99" w:rsidR="00125134" w:rsidRPr="00727D1A" w:rsidRDefault="00A85D15" w:rsidP="00727D1A">
      <w:pPr>
        <w:spacing w:after="120" w:line="276" w:lineRule="auto"/>
        <w:contextualSpacing/>
        <w:jc w:val="both"/>
        <w:rPr>
          <w:rFonts w:asciiTheme="majorHAnsi" w:hAnsiTheme="majorHAnsi" w:cstheme="majorHAnsi"/>
          <w:sz w:val="20"/>
          <w:szCs w:val="20"/>
        </w:rPr>
      </w:pPr>
      <w:r w:rsidRPr="007A73A4">
        <w:rPr>
          <w:rFonts w:asciiTheme="majorHAnsi" w:eastAsia="Times New Roman" w:hAnsiTheme="majorHAnsi" w:cstheme="majorHAnsi"/>
          <w:b/>
          <w:bCs/>
          <w:sz w:val="20"/>
          <w:szCs w:val="20"/>
          <w:lang w:eastAsia="it-IT"/>
        </w:rPr>
        <w:t>ESEMPIO:</w:t>
      </w:r>
      <w:r w:rsidRPr="000B1F9D">
        <w:rPr>
          <w:rFonts w:asciiTheme="majorHAnsi" w:eastAsia="Times New Roman" w:hAnsiTheme="majorHAnsi" w:cstheme="majorHAnsi"/>
          <w:sz w:val="20"/>
          <w:szCs w:val="20"/>
          <w:lang w:eastAsia="it-IT"/>
        </w:rPr>
        <w:t xml:space="preserve"> </w:t>
      </w:r>
      <w:r w:rsidR="009F681C" w:rsidRPr="000B1F9D">
        <w:rPr>
          <w:rFonts w:asciiTheme="majorHAnsi" w:eastAsia="Times New Roman" w:hAnsiTheme="majorHAnsi" w:cstheme="majorHAnsi"/>
          <w:sz w:val="20"/>
          <w:szCs w:val="20"/>
          <w:lang w:eastAsia="it-IT"/>
        </w:rPr>
        <w:t xml:space="preserve">si consideri un programma di investimento che prevede due interventi di efficienza energetica per una UP che consuma 1000 tep/a di energia elettrica. L'intervento 1 comporta un risparmio di energia elettrica sull'intera UP (stimati nel 2%), mentre l'intervento 2 genera risparmi di energia elettrica sulla sola sala compressori, passando da 200 tep/a </w:t>
      </w:r>
      <w:proofErr w:type="spellStart"/>
      <w:r w:rsidR="009F681C" w:rsidRPr="000B1F9D">
        <w:rPr>
          <w:rFonts w:asciiTheme="majorHAnsi" w:eastAsia="Times New Roman" w:hAnsiTheme="majorHAnsi" w:cstheme="majorHAnsi"/>
          <w:sz w:val="20"/>
          <w:szCs w:val="20"/>
          <w:lang w:eastAsia="it-IT"/>
        </w:rPr>
        <w:t>a</w:t>
      </w:r>
      <w:proofErr w:type="spellEnd"/>
      <w:r w:rsidR="009F681C" w:rsidRPr="000B1F9D">
        <w:rPr>
          <w:rFonts w:asciiTheme="majorHAnsi" w:eastAsia="Times New Roman" w:hAnsiTheme="majorHAnsi" w:cstheme="majorHAnsi"/>
          <w:sz w:val="20"/>
          <w:szCs w:val="20"/>
          <w:lang w:eastAsia="it-IT"/>
        </w:rPr>
        <w:t xml:space="preserve"> 180 tep/anno. In tal caso, il risparmio associato all'intervento 1 dev</w:t>
      </w:r>
      <w:r w:rsidR="00B70209">
        <w:rPr>
          <w:rFonts w:asciiTheme="majorHAnsi" w:eastAsia="Times New Roman" w:hAnsiTheme="majorHAnsi" w:cstheme="majorHAnsi"/>
          <w:sz w:val="20"/>
          <w:szCs w:val="20"/>
          <w:lang w:eastAsia="it-IT"/>
        </w:rPr>
        <w:t xml:space="preserve">e </w:t>
      </w:r>
      <w:r w:rsidR="009F681C" w:rsidRPr="000B1F9D">
        <w:rPr>
          <w:rFonts w:asciiTheme="majorHAnsi" w:eastAsia="Times New Roman" w:hAnsiTheme="majorHAnsi" w:cstheme="majorHAnsi"/>
          <w:sz w:val="20"/>
          <w:szCs w:val="20"/>
          <w:lang w:eastAsia="it-IT"/>
        </w:rPr>
        <w:t>essere calcolato a partire dai consumi stimati ex-post delle utenze di energia elettrica dell'intervento 2, ovvero il risparmio del 2% non deve essere calcolato su 1000 tep/a (consumo ex-ante), ma su 1000-(200-180) = 980 tep/a, al fine di tener conto della sovrapposizione degli effetti che i due interventi hanno sulle medesime utenze (in questo caso, la sala compressori).</w:t>
      </w:r>
    </w:p>
    <w:p w14:paraId="7D5B6C93" w14:textId="42008E98" w:rsidR="00341715" w:rsidRDefault="00341715" w:rsidP="00727D1A">
      <w:pPr>
        <w:pStyle w:val="Titolo4"/>
        <w:spacing w:before="0" w:line="276" w:lineRule="auto"/>
      </w:pPr>
      <w:r>
        <w:t>Spese di investimento</w:t>
      </w:r>
    </w:p>
    <w:p w14:paraId="2E286DD1" w14:textId="586F3A8D" w:rsidR="0077096D" w:rsidRPr="000B1F9D" w:rsidRDefault="0077096D" w:rsidP="00727D1A">
      <w:pPr>
        <w:spacing w:after="120" w:line="276" w:lineRule="auto"/>
        <w:jc w:val="both"/>
        <w:rPr>
          <w:rFonts w:asciiTheme="majorHAnsi" w:hAnsiTheme="majorHAnsi" w:cstheme="majorHAnsi"/>
          <w:sz w:val="20"/>
          <w:szCs w:val="20"/>
        </w:rPr>
      </w:pPr>
      <w:r w:rsidRPr="000B1F9D">
        <w:rPr>
          <w:rFonts w:asciiTheme="majorHAnsi" w:hAnsiTheme="majorHAnsi" w:cstheme="majorHAnsi"/>
          <w:sz w:val="20"/>
          <w:szCs w:val="20"/>
        </w:rPr>
        <w:t>Come previsto dal</w:t>
      </w:r>
      <w:r w:rsidR="00A500B0">
        <w:rPr>
          <w:rFonts w:asciiTheme="majorHAnsi" w:hAnsiTheme="majorHAnsi" w:cstheme="majorHAnsi"/>
          <w:sz w:val="20"/>
          <w:szCs w:val="20"/>
        </w:rPr>
        <w:t>la normativa di riferimento</w:t>
      </w:r>
      <w:r w:rsidRPr="000B1F9D">
        <w:rPr>
          <w:rFonts w:asciiTheme="majorHAnsi" w:hAnsiTheme="majorHAnsi" w:cstheme="majorHAnsi"/>
          <w:sz w:val="20"/>
          <w:szCs w:val="20"/>
        </w:rPr>
        <w:t>, si ricorda che:</w:t>
      </w:r>
    </w:p>
    <w:p w14:paraId="6009A84A" w14:textId="77777777" w:rsidR="0077096D" w:rsidRPr="000B1F9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0B1F9D">
        <w:rPr>
          <w:rFonts w:asciiTheme="majorHAnsi" w:hAnsiTheme="majorHAnsi" w:cstheme="majorHAnsi"/>
          <w:sz w:val="20"/>
          <w:szCs w:val="20"/>
        </w:rPr>
        <w:t>le spese per “Suolo aziendale e sue sistemazioni” non possono eccedere il 10% delle spese totali dell’intero programma di investimento;</w:t>
      </w:r>
    </w:p>
    <w:p w14:paraId="44BF2DF5" w14:textId="03F911AF" w:rsidR="0077096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0B1F9D">
        <w:rPr>
          <w:rFonts w:asciiTheme="majorHAnsi" w:hAnsiTheme="majorHAnsi" w:cstheme="majorHAnsi"/>
          <w:sz w:val="20"/>
          <w:szCs w:val="20"/>
        </w:rPr>
        <w:t>le spese per “Opere murarie e assimilate e infrastrutture specifiche aziendali (inclusa progettazione e direzioni lavori)” non possono eccedere il 40% delle spese totali dell’intero programma di investimento.</w:t>
      </w:r>
    </w:p>
    <w:p w14:paraId="61A01711" w14:textId="44848A76" w:rsidR="00991731" w:rsidRPr="00A500B0" w:rsidRDefault="000B1F9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A500B0">
        <w:rPr>
          <w:rFonts w:asciiTheme="majorHAnsi" w:eastAsia="Times New Roman" w:hAnsiTheme="majorHAnsi" w:cstheme="majorHAnsi"/>
          <w:sz w:val="20"/>
          <w:szCs w:val="20"/>
          <w:lang w:eastAsia="it-IT"/>
        </w:rPr>
        <w:t xml:space="preserve">le spese relative </w:t>
      </w:r>
      <w:r w:rsidR="005B4205" w:rsidRPr="00A500B0">
        <w:rPr>
          <w:rFonts w:asciiTheme="majorHAnsi" w:eastAsia="Times New Roman" w:hAnsiTheme="majorHAnsi" w:cstheme="majorHAnsi"/>
          <w:sz w:val="20"/>
          <w:szCs w:val="20"/>
          <w:lang w:eastAsia="it-IT"/>
        </w:rPr>
        <w:t xml:space="preserve">a </w:t>
      </w:r>
      <w:r w:rsidR="005B4205" w:rsidRPr="00A500B0">
        <w:rPr>
          <w:rFonts w:asciiTheme="majorHAnsi" w:eastAsia="Times New Roman" w:hAnsiTheme="majorHAnsi" w:cstheme="majorHAnsi"/>
          <w:color w:val="000000"/>
          <w:sz w:val="20"/>
          <w:szCs w:val="20"/>
          <w:lang w:eastAsia="it-IT"/>
        </w:rPr>
        <w:t>programmi informatici, brevetti, licenze, know-how</w:t>
      </w:r>
      <w:r w:rsidRPr="00A500B0">
        <w:rPr>
          <w:rFonts w:asciiTheme="majorHAnsi" w:eastAsia="Times New Roman" w:hAnsiTheme="majorHAnsi" w:cstheme="majorHAnsi"/>
          <w:color w:val="000000"/>
          <w:sz w:val="20"/>
          <w:szCs w:val="20"/>
          <w:lang w:eastAsia="it-IT"/>
        </w:rPr>
        <w:t xml:space="preserve"> devono essere strettamente connesse all’intervento proposto</w:t>
      </w:r>
      <w:r w:rsidR="00A500B0" w:rsidRPr="00A500B0">
        <w:rPr>
          <w:rFonts w:asciiTheme="majorHAnsi" w:eastAsia="Times New Roman" w:hAnsiTheme="majorHAnsi" w:cstheme="majorHAnsi"/>
          <w:color w:val="000000"/>
          <w:sz w:val="20"/>
          <w:szCs w:val="20"/>
          <w:lang w:eastAsia="it-IT"/>
        </w:rPr>
        <w:t>.</w:t>
      </w:r>
    </w:p>
    <w:p w14:paraId="0317304E" w14:textId="77689123" w:rsidR="00343B3A" w:rsidRPr="00343B3A" w:rsidRDefault="00341715" w:rsidP="00727D1A">
      <w:pPr>
        <w:pStyle w:val="Titolo4"/>
        <w:spacing w:before="0" w:line="276" w:lineRule="auto"/>
      </w:pPr>
      <w:r w:rsidRPr="00B70209">
        <w:lastRenderedPageBreak/>
        <w:t>Ipotesi di scenario controfattuale</w:t>
      </w:r>
    </w:p>
    <w:p w14:paraId="0FD3C96F" w14:textId="075BFE3A" w:rsidR="0077096D" w:rsidRPr="0075528E" w:rsidRDefault="0077096D" w:rsidP="00727D1A">
      <w:pPr>
        <w:spacing w:after="120" w:line="276" w:lineRule="auto"/>
        <w:jc w:val="both"/>
        <w:rPr>
          <w:rFonts w:asciiTheme="majorHAnsi" w:hAnsiTheme="majorHAnsi" w:cstheme="majorHAnsi"/>
          <w:sz w:val="20"/>
          <w:szCs w:val="20"/>
        </w:rPr>
      </w:pPr>
      <w:bookmarkStart w:id="28" w:name="_Hlk187660197"/>
      <w:r w:rsidRPr="0075528E">
        <w:rPr>
          <w:rFonts w:asciiTheme="majorHAnsi" w:hAnsiTheme="majorHAnsi" w:cstheme="majorHAnsi"/>
          <w:sz w:val="20"/>
          <w:szCs w:val="20"/>
        </w:rPr>
        <w:t>Fornire una descrizione dello scenario controfattuale individuato contenente le ipotesi fatte</w:t>
      </w:r>
      <w:r w:rsidR="00A500B0">
        <w:rPr>
          <w:rFonts w:asciiTheme="majorHAnsi" w:hAnsiTheme="majorHAnsi" w:cstheme="majorHAnsi"/>
          <w:sz w:val="20"/>
          <w:szCs w:val="20"/>
        </w:rPr>
        <w:t>,</w:t>
      </w:r>
      <w:r w:rsidRPr="0075528E">
        <w:rPr>
          <w:rFonts w:asciiTheme="majorHAnsi" w:hAnsiTheme="majorHAnsi" w:cstheme="majorHAnsi"/>
          <w:sz w:val="20"/>
          <w:szCs w:val="20"/>
        </w:rPr>
        <w:t xml:space="preserve"> le ricerche effettuate e corredata di opportuni allegati </w:t>
      </w:r>
      <w:r w:rsidR="00DE6E67">
        <w:rPr>
          <w:rFonts w:asciiTheme="majorHAnsi" w:hAnsiTheme="majorHAnsi" w:cstheme="majorHAnsi"/>
          <w:sz w:val="20"/>
          <w:szCs w:val="20"/>
        </w:rPr>
        <w:t>di</w:t>
      </w:r>
      <w:r w:rsidRPr="0075528E">
        <w:rPr>
          <w:rFonts w:asciiTheme="majorHAnsi" w:hAnsiTheme="majorHAnsi" w:cstheme="majorHAnsi"/>
          <w:sz w:val="20"/>
          <w:szCs w:val="20"/>
        </w:rPr>
        <w:t xml:space="preserve"> supporto. Ad esempio:</w:t>
      </w:r>
    </w:p>
    <w:p w14:paraId="4AE37373" w14:textId="0782AAEB"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 xml:space="preserve">qualora lo scenario preveda un investimento meno efficiente o comparabile che non </w:t>
      </w:r>
      <w:r w:rsidRPr="0075528E">
        <w:rPr>
          <w:rFonts w:asciiTheme="majorHAnsi" w:hAnsiTheme="majorHAnsi" w:cstheme="majorHAnsi"/>
          <w:sz w:val="20"/>
          <w:szCs w:val="20"/>
        </w:rPr>
        <w:t>raggiunge lo stesso livello di uso efficiente delle risorse</w:t>
      </w:r>
      <w:r w:rsidRPr="00CD22D2">
        <w:rPr>
          <w:rFonts w:asciiTheme="majorHAnsi" w:hAnsiTheme="majorHAnsi" w:cstheme="majorHAnsi"/>
          <w:sz w:val="20"/>
          <w:szCs w:val="20"/>
        </w:rPr>
        <w:t>, fornire opportuna descrizione della tecnologia, motivare la scelta fatta e indicare i costi stimati di tale tecnologia base, allegando opportuna documentazione</w:t>
      </w:r>
      <w:r w:rsidR="00445024" w:rsidRPr="00CD22D2">
        <w:rPr>
          <w:rFonts w:asciiTheme="majorHAnsi" w:hAnsiTheme="majorHAnsi" w:cstheme="majorHAnsi"/>
          <w:sz w:val="20"/>
          <w:szCs w:val="20"/>
        </w:rPr>
        <w:t>;</w:t>
      </w:r>
    </w:p>
    <w:p w14:paraId="12D0F199" w14:textId="77777777"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 xml:space="preserve">qualora lo scenario preveda di mantenere </w:t>
      </w:r>
      <w:r w:rsidRPr="0075528E">
        <w:rPr>
          <w:rFonts w:asciiTheme="majorHAnsi" w:hAnsiTheme="majorHAnsi" w:cstheme="majorHAnsi"/>
          <w:sz w:val="20"/>
          <w:szCs w:val="20"/>
        </w:rPr>
        <w:t>in funzione gli impianti e le attrezzature esistenti, fornire i costi O&amp;M previsti per un orizzonte temporale pari alla vita utile del nuovo macchinario, delle nuove attrezzature, etc., tenendo conto anche dell’eventuale decadimento delle prestazioni del processo, attualizzando i costi rispetto all’anno previsto di investimento;</w:t>
      </w:r>
    </w:p>
    <w:p w14:paraId="74D146DB" w14:textId="77777777"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qualora lo scenario preveda lo stesso investimento in un momento successivo, motivare la scelta fatta (ad esempio, se l’intervento riguarda la sostituzione di un impianto il cui fine vita è previsto fra un certo numero di anni), fornire l’entità dell’investimento proposto attualizzato rispetto all’anno previsto di investimento;</w:t>
      </w:r>
    </w:p>
    <w:p w14:paraId="1B983C51" w14:textId="77777777" w:rsidR="0077096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qualora lo scenario controfattuale non sia determinabile, fornire una descrizione dettagliata della scelta fatta, che contenga le eventuali azioni intraprese per determinarlo (ad es. analisi di mercato, richieste di preventivo, etc.).</w:t>
      </w:r>
    </w:p>
    <w:bookmarkEnd w:id="28"/>
    <w:p w14:paraId="7C39BCED" w14:textId="32EF96D8" w:rsidR="00894134" w:rsidRDefault="0089413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Si precisa che ai fini del</w:t>
      </w:r>
      <w:r w:rsidRPr="00894134">
        <w:rPr>
          <w:rFonts w:asciiTheme="majorHAnsi" w:hAnsiTheme="majorHAnsi" w:cstheme="majorHAnsi"/>
          <w:sz w:val="20"/>
          <w:szCs w:val="20"/>
        </w:rPr>
        <w:t>l’attualizzazione degli investimenti</w:t>
      </w:r>
      <w:r>
        <w:rPr>
          <w:rFonts w:asciiTheme="majorHAnsi" w:hAnsiTheme="majorHAnsi" w:cstheme="majorHAnsi"/>
          <w:sz w:val="20"/>
          <w:szCs w:val="20"/>
        </w:rPr>
        <w:t>, i</w:t>
      </w:r>
      <w:r w:rsidRPr="00894134">
        <w:rPr>
          <w:rFonts w:asciiTheme="majorHAnsi" w:hAnsiTheme="majorHAnsi" w:cstheme="majorHAnsi"/>
          <w:sz w:val="20"/>
          <w:szCs w:val="20"/>
        </w:rPr>
        <w:t xml:space="preserve">l tasso da utilizzare è quello fissato dalla Commissione europea riferito al momento della presentazione della Domanda, maggiorato di un margine fisso di 100 punti base, come indicato nella Comunicazione della Commissione Europea 2008/C14/02. Di seguito il link di riferimento: </w:t>
      </w:r>
      <w:hyperlink r:id="rId12" w:tgtFrame="_blank" w:tooltip="https://competition-policy.ec.europa.eu/state-aid/legislation/reference-discount-rates-and-recovery-interest-rates/reference-and-discount-rates" w:history="1">
        <w:r w:rsidRPr="00894134">
          <w:rPr>
            <w:rStyle w:val="Collegamentoipertestuale"/>
            <w:rFonts w:asciiTheme="majorHAnsi" w:hAnsiTheme="majorHAnsi" w:cstheme="majorHAnsi"/>
            <w:sz w:val="20"/>
            <w:szCs w:val="20"/>
          </w:rPr>
          <w:t>https://competition-policy.ec.europa.eu/state-aid/legislation/reference-discount-rates-and-recovery-interest-rates/reference-and-discount-rates</w:t>
        </w:r>
      </w:hyperlink>
      <w:r>
        <w:rPr>
          <w:rFonts w:asciiTheme="majorHAnsi" w:hAnsiTheme="majorHAnsi" w:cstheme="majorHAnsi"/>
          <w:sz w:val="20"/>
          <w:szCs w:val="20"/>
        </w:rPr>
        <w:t>.</w:t>
      </w:r>
    </w:p>
    <w:p w14:paraId="2CDE22BE" w14:textId="59073D1B" w:rsidR="00074034" w:rsidRPr="00894134" w:rsidRDefault="0024329F" w:rsidP="00727D1A">
      <w:pPr>
        <w:spacing w:after="120" w:line="276" w:lineRule="auto"/>
        <w:jc w:val="both"/>
        <w:rPr>
          <w:rStyle w:val="Titolo5Carattere"/>
          <w:rFonts w:eastAsiaTheme="minorHAnsi"/>
          <w:b w:val="0"/>
          <w:bCs w:val="0"/>
          <w:u w:val="none"/>
          <w:lang w:eastAsia="en-US"/>
        </w:rPr>
      </w:pPr>
      <w:bookmarkStart w:id="29" w:name="_Hlk187660830"/>
      <w:r>
        <w:rPr>
          <w:rFonts w:asciiTheme="majorHAnsi" w:hAnsiTheme="majorHAnsi" w:cstheme="majorHAnsi"/>
          <w:sz w:val="20"/>
          <w:szCs w:val="20"/>
        </w:rPr>
        <w:t xml:space="preserve">Si rammenta che </w:t>
      </w:r>
      <w:r w:rsidRPr="0024329F">
        <w:rPr>
          <w:rFonts w:asciiTheme="majorHAnsi" w:hAnsiTheme="majorHAnsi" w:cstheme="majorHAnsi"/>
          <w:sz w:val="20"/>
          <w:szCs w:val="20"/>
        </w:rPr>
        <w:t xml:space="preserve">per interventi </w:t>
      </w:r>
      <w:r w:rsidR="00894134">
        <w:rPr>
          <w:rFonts w:asciiTheme="majorHAnsi" w:hAnsiTheme="majorHAnsi" w:cstheme="majorHAnsi"/>
          <w:sz w:val="20"/>
          <w:szCs w:val="20"/>
        </w:rPr>
        <w:t xml:space="preserve">presentati ai sensi degli artt. 14 e 17 del GBER </w:t>
      </w:r>
      <w:r>
        <w:rPr>
          <w:rFonts w:asciiTheme="majorHAnsi" w:hAnsiTheme="majorHAnsi" w:cstheme="majorHAnsi"/>
          <w:sz w:val="20"/>
          <w:szCs w:val="20"/>
        </w:rPr>
        <w:t>non è prevista l’individuazione di uno scenario controfattuale.</w:t>
      </w:r>
    </w:p>
    <w:bookmarkEnd w:id="29"/>
    <w:p w14:paraId="46C80A76" w14:textId="393C2C23" w:rsidR="00074034" w:rsidRPr="00860105" w:rsidRDefault="00074034" w:rsidP="00727D1A">
      <w:pPr>
        <w:pStyle w:val="Titolo3"/>
      </w:pPr>
      <w:r>
        <w:t xml:space="preserve">Maggiore </w:t>
      </w:r>
      <w:r w:rsidRPr="00074034">
        <w:t xml:space="preserve">efficienza energetica degli edifici </w:t>
      </w:r>
      <w:r>
        <w:t>(</w:t>
      </w:r>
      <w:r w:rsidRPr="00074034">
        <w:t>articolo 38bis</w:t>
      </w:r>
      <w:r>
        <w:t xml:space="preserve"> GBER)</w:t>
      </w:r>
    </w:p>
    <w:p w14:paraId="03461A13" w14:textId="3DD03B3A" w:rsidR="00074034" w:rsidRPr="0075528E" w:rsidRDefault="0075528E" w:rsidP="00727D1A">
      <w:pPr>
        <w:spacing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Si rammenta che r</w:t>
      </w:r>
      <w:r w:rsidR="00074034" w:rsidRPr="0075528E">
        <w:rPr>
          <w:rFonts w:asciiTheme="majorHAnsi" w:eastAsia="Times New Roman" w:hAnsiTheme="majorHAnsi" w:cstheme="majorHAnsi"/>
          <w:sz w:val="20"/>
          <w:szCs w:val="20"/>
          <w:lang w:eastAsia="it-IT"/>
        </w:rPr>
        <w:t>ientrano in tale fattispecie gli interventi che migliorano l’efficienza energetica degli edifici: sono agevolabili unicamente le spese riferite ad edifici inseriti in siti destinati ad attività industriali ed artigianali e assimilabili, secondo la classificazione di cui all’articolo 3, comma 1, punto E.8 del DPR  26 agosto 1993, n. 412, recante “</w:t>
      </w:r>
      <w:r w:rsidR="00074034" w:rsidRPr="0075528E">
        <w:rPr>
          <w:rFonts w:asciiTheme="majorHAnsi" w:eastAsia="Times New Roman" w:hAnsiTheme="majorHAnsi" w:cstheme="majorHAnsi"/>
          <w:i/>
          <w:iCs/>
          <w:sz w:val="20"/>
          <w:szCs w:val="20"/>
          <w:lang w:eastAsia="it-IT"/>
        </w:rPr>
        <w:t>Regolamento recante norme per la progettazione, l’installazione, l’esercizio e la manutenzione degli impianti termici degli edifici ai fini del contenimento dei consumi di energia, in attuazione dell’art. 4, comma 4, della legge 9 gennaio 1991, n. 10</w:t>
      </w:r>
      <w:r w:rsidR="00074034" w:rsidRPr="0075528E">
        <w:rPr>
          <w:rFonts w:asciiTheme="majorHAnsi" w:eastAsia="Times New Roman" w:hAnsiTheme="majorHAnsi" w:cstheme="majorHAnsi"/>
          <w:sz w:val="20"/>
          <w:szCs w:val="20"/>
          <w:lang w:eastAsia="it-IT"/>
        </w:rPr>
        <w:t>”.</w:t>
      </w:r>
    </w:p>
    <w:p w14:paraId="1A7F40A3" w14:textId="12CAB122" w:rsidR="007606F4" w:rsidRDefault="007606F4" w:rsidP="00727D1A">
      <w:pPr>
        <w:spacing w:after="120" w:line="276" w:lineRule="auto"/>
        <w:jc w:val="both"/>
        <w:rPr>
          <w:rFonts w:asciiTheme="majorHAnsi" w:eastAsia="Times New Roman" w:hAnsiTheme="majorHAnsi" w:cstheme="majorHAnsi"/>
          <w:sz w:val="20"/>
          <w:szCs w:val="20"/>
          <w:lang w:eastAsia="it-IT"/>
        </w:rPr>
      </w:pPr>
      <w:r w:rsidRPr="0075528E">
        <w:rPr>
          <w:rFonts w:asciiTheme="majorHAnsi" w:eastAsia="Times New Roman" w:hAnsiTheme="majorHAnsi" w:cstheme="majorHAnsi"/>
          <w:sz w:val="20"/>
          <w:szCs w:val="20"/>
          <w:lang w:eastAsia="it-IT"/>
        </w:rPr>
        <w:t>Per ogni singolo intervento, replicare e compilare i paragrafi con il relativo contenuto:</w:t>
      </w:r>
      <w:r w:rsidRPr="0075528E">
        <w:rPr>
          <w:rFonts w:asciiTheme="majorHAnsi" w:eastAsia="Times New Roman" w:hAnsiTheme="majorHAnsi" w:cstheme="majorHAnsi"/>
          <w:b/>
          <w:bCs/>
          <w:sz w:val="20"/>
          <w:szCs w:val="20"/>
          <w:lang w:eastAsia="it-IT"/>
        </w:rPr>
        <w:t xml:space="preserve"> Intervento n – Nome intervento, Descrizione, Quantificazione obiettivi ambientali, Spese di investimento, Quadro analitico delle spese</w:t>
      </w:r>
      <w:r>
        <w:rPr>
          <w:rFonts w:asciiTheme="majorHAnsi" w:eastAsia="Times New Roman" w:hAnsiTheme="majorHAnsi" w:cstheme="majorHAnsi"/>
          <w:b/>
          <w:bCs/>
          <w:sz w:val="20"/>
          <w:szCs w:val="20"/>
          <w:lang w:eastAsia="it-IT"/>
        </w:rPr>
        <w:t xml:space="preserve">, </w:t>
      </w:r>
      <w:r w:rsidRPr="007606F4">
        <w:rPr>
          <w:rFonts w:asciiTheme="majorHAnsi" w:eastAsia="Times New Roman" w:hAnsiTheme="majorHAnsi" w:cstheme="majorHAnsi"/>
          <w:sz w:val="20"/>
          <w:szCs w:val="20"/>
          <w:lang w:eastAsia="it-IT"/>
        </w:rPr>
        <w:t>seguendo le specifiche fornite nei paragrafi precedenti.</w:t>
      </w:r>
    </w:p>
    <w:p w14:paraId="2D8B6B2D" w14:textId="77777777" w:rsidR="007606F4" w:rsidRPr="007606F4" w:rsidRDefault="007606F4" w:rsidP="00727D1A">
      <w:pPr>
        <w:spacing w:after="120" w:line="276" w:lineRule="auto"/>
        <w:jc w:val="both"/>
        <w:rPr>
          <w:rFonts w:asciiTheme="majorHAnsi" w:eastAsia="Times New Roman" w:hAnsiTheme="majorHAnsi" w:cstheme="majorHAnsi"/>
          <w:sz w:val="20"/>
          <w:szCs w:val="20"/>
          <w:lang w:eastAsia="it-IT"/>
        </w:rPr>
      </w:pPr>
    </w:p>
    <w:p w14:paraId="00AA28E8" w14:textId="2B1809E1" w:rsidR="00074034" w:rsidRPr="007606F4" w:rsidRDefault="007606F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In relazione alle spese di investimento</w:t>
      </w:r>
      <w:r w:rsidR="00074034" w:rsidRPr="007606F4">
        <w:rPr>
          <w:rFonts w:asciiTheme="majorHAnsi" w:hAnsiTheme="majorHAnsi" w:cstheme="majorHAnsi"/>
          <w:sz w:val="20"/>
          <w:szCs w:val="20"/>
        </w:rPr>
        <w:t xml:space="preserve"> si ricorda che:</w:t>
      </w:r>
    </w:p>
    <w:p w14:paraId="2B399E63" w14:textId="05C010E6" w:rsidR="00D84258" w:rsidRPr="007606F4" w:rsidRDefault="00D84258"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7606F4">
        <w:rPr>
          <w:rFonts w:asciiTheme="majorHAnsi" w:hAnsiTheme="majorHAnsi" w:cstheme="majorHAnsi"/>
          <w:sz w:val="20"/>
          <w:szCs w:val="20"/>
        </w:rPr>
        <w:t>le spese di cui all’art. 38 bis non possono rappresentare più del 40% delle complessive spese previste per i programmi relativi all’efficientamento energetico di cui all’articolo 38 del Regolamento GBER</w:t>
      </w:r>
      <w:r w:rsidR="006757A2" w:rsidRPr="007606F4">
        <w:rPr>
          <w:rFonts w:asciiTheme="majorHAnsi" w:hAnsiTheme="majorHAnsi" w:cstheme="majorHAnsi"/>
          <w:sz w:val="20"/>
          <w:szCs w:val="20"/>
        </w:rPr>
        <w:t>;</w:t>
      </w:r>
    </w:p>
    <w:p w14:paraId="66E96F39" w14:textId="11D68E84" w:rsidR="00074034" w:rsidRDefault="006757A2"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7606F4">
        <w:rPr>
          <w:rFonts w:asciiTheme="majorHAnsi" w:hAnsiTheme="majorHAnsi" w:cstheme="majorHAnsi"/>
          <w:sz w:val="20"/>
          <w:szCs w:val="20"/>
        </w:rPr>
        <w:t>le spese imputabili all’art. 38 bis concorrono nel monte spesa complessivo utile a stabilire quale sia la quota di spesa ammissibile legata all'art. 41</w:t>
      </w:r>
      <w:r w:rsidR="00E93CB6">
        <w:rPr>
          <w:rFonts w:asciiTheme="majorHAnsi" w:hAnsiTheme="majorHAnsi" w:cstheme="majorHAnsi"/>
          <w:sz w:val="20"/>
          <w:szCs w:val="20"/>
        </w:rPr>
        <w:t>.</w:t>
      </w:r>
    </w:p>
    <w:p w14:paraId="32070834" w14:textId="76EC3681" w:rsidR="007606F4" w:rsidRDefault="00E93CB6"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Si precisa che s</w:t>
      </w:r>
      <w:r w:rsidRPr="00E93CB6">
        <w:rPr>
          <w:rFonts w:asciiTheme="majorHAnsi" w:hAnsiTheme="majorHAnsi" w:cstheme="majorHAnsi"/>
          <w:sz w:val="20"/>
          <w:szCs w:val="20"/>
        </w:rPr>
        <w:t>ono considerati agevolabili</w:t>
      </w:r>
      <w:r>
        <w:rPr>
          <w:rFonts w:asciiTheme="majorHAnsi" w:hAnsiTheme="majorHAnsi" w:cstheme="majorHAnsi"/>
          <w:sz w:val="20"/>
          <w:szCs w:val="20"/>
        </w:rPr>
        <w:t xml:space="preserve"> </w:t>
      </w:r>
      <w:r w:rsidRPr="00E93CB6">
        <w:rPr>
          <w:rFonts w:asciiTheme="majorHAnsi" w:hAnsiTheme="majorHAnsi" w:cstheme="majorHAnsi"/>
          <w:sz w:val="20"/>
          <w:szCs w:val="20"/>
        </w:rPr>
        <w:t>i costi complessivi dell’investimento, con esclusione di quelli non direttamente connessi al conseguimento di un livello più elevato di efficienza energetica dell’edificio. Sono in ogni caso escluse le spese relative all’installazione di apparecchiature che generano energia o che utilizzano energia, qualora alimentate da combustibili fossili, compreso il gas naturale</w:t>
      </w:r>
      <w:r>
        <w:rPr>
          <w:rFonts w:asciiTheme="majorHAnsi" w:hAnsiTheme="majorHAnsi" w:cstheme="majorHAnsi"/>
          <w:sz w:val="20"/>
          <w:szCs w:val="20"/>
        </w:rPr>
        <w:t xml:space="preserve">. </w:t>
      </w:r>
    </w:p>
    <w:p w14:paraId="7E9BB323" w14:textId="77777777" w:rsidR="00B66B67" w:rsidRPr="007606F4" w:rsidRDefault="00B66B67" w:rsidP="00727D1A">
      <w:pPr>
        <w:spacing w:after="120" w:line="276" w:lineRule="auto"/>
        <w:jc w:val="both"/>
        <w:rPr>
          <w:rFonts w:asciiTheme="majorHAnsi" w:hAnsiTheme="majorHAnsi" w:cstheme="majorHAnsi"/>
          <w:sz w:val="20"/>
          <w:szCs w:val="20"/>
        </w:rPr>
      </w:pPr>
    </w:p>
    <w:p w14:paraId="530E25A1" w14:textId="2ED49CEE" w:rsidR="002601EF" w:rsidRPr="00E93CB6" w:rsidRDefault="00FB7D38" w:rsidP="00727D1A">
      <w:pPr>
        <w:tabs>
          <w:tab w:val="left" w:pos="0"/>
          <w:tab w:val="right" w:pos="1278"/>
        </w:tabs>
        <w:spacing w:after="120" w:line="276" w:lineRule="auto"/>
        <w:ind w:right="-143"/>
        <w:jc w:val="both"/>
        <w:rPr>
          <w:rFonts w:asciiTheme="majorHAnsi" w:hAnsiTheme="majorHAnsi" w:cstheme="majorHAnsi"/>
          <w:sz w:val="18"/>
          <w:szCs w:val="18"/>
        </w:rPr>
      </w:pPr>
      <w:r w:rsidRPr="00725991">
        <w:rPr>
          <w:rStyle w:val="Titolo5Carattere"/>
          <w:rFonts w:eastAsiaTheme="minorHAnsi"/>
        </w:rPr>
        <w:lastRenderedPageBreak/>
        <w:t xml:space="preserve">Impianti energetici per l’autoproduzione di energia </w:t>
      </w:r>
      <w:r w:rsidRPr="00CD22D2">
        <w:rPr>
          <w:rStyle w:val="Titolo5Carattere"/>
          <w:rFonts w:eastAsiaTheme="minorHAnsi"/>
        </w:rPr>
        <w:t>elettrica da FER</w:t>
      </w:r>
      <w:r w:rsidRPr="00CD22D2">
        <w:rPr>
          <w:rStyle w:val="Titolo3Carattere"/>
          <w:rFonts w:eastAsiaTheme="minorHAnsi"/>
        </w:rPr>
        <w:t xml:space="preserve"> </w:t>
      </w:r>
    </w:p>
    <w:p w14:paraId="05492AEF" w14:textId="2E31DBC0" w:rsidR="00E93CB6" w:rsidRPr="00E93CB6" w:rsidRDefault="00E93CB6" w:rsidP="00727D1A">
      <w:pPr>
        <w:spacing w:after="120" w:line="276" w:lineRule="auto"/>
        <w:jc w:val="both"/>
        <w:rPr>
          <w:rFonts w:asciiTheme="majorHAnsi" w:eastAsia="Times New Roman" w:hAnsiTheme="majorHAnsi" w:cstheme="majorHAnsi"/>
          <w:sz w:val="20"/>
          <w:szCs w:val="20"/>
          <w:lang w:eastAsia="it-IT"/>
        </w:rPr>
      </w:pPr>
      <w:r w:rsidRPr="0075528E">
        <w:rPr>
          <w:rFonts w:asciiTheme="majorHAnsi" w:eastAsia="Times New Roman" w:hAnsiTheme="majorHAnsi" w:cstheme="majorHAnsi"/>
          <w:sz w:val="20"/>
          <w:szCs w:val="20"/>
          <w:lang w:eastAsia="it-IT"/>
        </w:rPr>
        <w:t>Per ogni singolo intervento, replicare e compilare i paragrafi con il relativo contenuto:</w:t>
      </w:r>
      <w:r w:rsidRPr="0075528E">
        <w:rPr>
          <w:rFonts w:asciiTheme="majorHAnsi" w:eastAsia="Times New Roman" w:hAnsiTheme="majorHAnsi" w:cstheme="majorHAnsi"/>
          <w:b/>
          <w:bCs/>
          <w:sz w:val="20"/>
          <w:szCs w:val="20"/>
          <w:lang w:eastAsia="it-IT"/>
        </w:rPr>
        <w:t xml:space="preserve"> Intervento n – Nome intervento, Descrizione, Quantificazione obiettivi ambientali, Spese di investimento, Quadro analitico delle spese</w:t>
      </w:r>
      <w:r>
        <w:rPr>
          <w:rFonts w:asciiTheme="majorHAnsi" w:eastAsia="Times New Roman" w:hAnsiTheme="majorHAnsi" w:cstheme="majorHAnsi"/>
          <w:b/>
          <w:bCs/>
          <w:sz w:val="20"/>
          <w:szCs w:val="20"/>
          <w:lang w:eastAsia="it-IT"/>
        </w:rPr>
        <w:t xml:space="preserve">, </w:t>
      </w:r>
      <w:r w:rsidRPr="007606F4">
        <w:rPr>
          <w:rFonts w:asciiTheme="majorHAnsi" w:eastAsia="Times New Roman" w:hAnsiTheme="majorHAnsi" w:cstheme="majorHAnsi"/>
          <w:sz w:val="20"/>
          <w:szCs w:val="20"/>
          <w:lang w:eastAsia="it-IT"/>
        </w:rPr>
        <w:t>seguendo le specifiche fornite nei paragrafi precedenti.</w:t>
      </w:r>
    </w:p>
    <w:p w14:paraId="39C28443" w14:textId="257F2C8C" w:rsidR="00001BE7" w:rsidRDefault="00001BE7"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Si rammenta che progetti presentati nell’ambito dell’art. 41 GBER non possono essere agevolati per importi superiori al </w:t>
      </w:r>
      <w:r w:rsidR="002601EF" w:rsidRPr="007966B8">
        <w:rPr>
          <w:rFonts w:asciiTheme="majorHAnsi" w:hAnsiTheme="majorHAnsi" w:cstheme="majorHAnsi"/>
          <w:sz w:val="20"/>
          <w:szCs w:val="20"/>
        </w:rPr>
        <w:t>40% del complessivo programma di investimento ammissibile</w:t>
      </w:r>
      <w:r>
        <w:rPr>
          <w:rFonts w:asciiTheme="majorHAnsi" w:hAnsiTheme="majorHAnsi" w:cstheme="majorHAnsi"/>
          <w:sz w:val="20"/>
          <w:szCs w:val="20"/>
        </w:rPr>
        <w:t xml:space="preserve"> afferente </w:t>
      </w:r>
      <w:proofErr w:type="gramStart"/>
      <w:r>
        <w:rPr>
          <w:rFonts w:asciiTheme="majorHAnsi" w:hAnsiTheme="majorHAnsi" w:cstheme="majorHAnsi"/>
          <w:sz w:val="20"/>
          <w:szCs w:val="20"/>
        </w:rPr>
        <w:t>il</w:t>
      </w:r>
      <w:proofErr w:type="gramEnd"/>
      <w:r>
        <w:rPr>
          <w:rFonts w:asciiTheme="majorHAnsi" w:hAnsiTheme="majorHAnsi" w:cstheme="majorHAnsi"/>
          <w:sz w:val="20"/>
          <w:szCs w:val="20"/>
        </w:rPr>
        <w:t xml:space="preserve"> TITOLO II</w:t>
      </w:r>
      <w:r w:rsidR="003C1489">
        <w:t xml:space="preserve"> </w:t>
      </w:r>
      <w:r w:rsidR="003C1489" w:rsidRPr="003C1489">
        <w:rPr>
          <w:rFonts w:asciiTheme="majorHAnsi" w:hAnsiTheme="majorHAnsi" w:cstheme="majorHAnsi"/>
          <w:sz w:val="20"/>
          <w:szCs w:val="20"/>
        </w:rPr>
        <w:t>- maggiore efficienza energetica del</w:t>
      </w:r>
      <w:r w:rsidR="008E0181">
        <w:rPr>
          <w:rFonts w:asciiTheme="majorHAnsi" w:hAnsiTheme="majorHAnsi" w:cstheme="majorHAnsi"/>
          <w:sz w:val="20"/>
          <w:szCs w:val="20"/>
        </w:rPr>
        <w:t xml:space="preserve"> </w:t>
      </w:r>
      <w:r w:rsidR="003C1489" w:rsidRPr="003C1489">
        <w:rPr>
          <w:rFonts w:asciiTheme="majorHAnsi" w:hAnsiTheme="majorHAnsi" w:cstheme="majorHAnsi"/>
          <w:sz w:val="20"/>
          <w:szCs w:val="20"/>
        </w:rPr>
        <w:t>DD</w:t>
      </w:r>
      <w:r w:rsidR="00B66B67">
        <w:rPr>
          <w:rFonts w:asciiTheme="majorHAnsi" w:hAnsiTheme="majorHAnsi" w:cstheme="majorHAnsi"/>
          <w:sz w:val="20"/>
          <w:szCs w:val="20"/>
        </w:rPr>
        <w:t xml:space="preserve"> </w:t>
      </w:r>
      <w:r w:rsidR="00B66B67">
        <w:rPr>
          <w:rFonts w:asciiTheme="majorHAnsi" w:eastAsia="Times New Roman" w:hAnsiTheme="majorHAnsi" w:cstheme="majorHAnsi"/>
          <w:sz w:val="20"/>
          <w:szCs w:val="20"/>
          <w:lang w:eastAsia="it-IT"/>
        </w:rPr>
        <w:t>23 dicembre 2024</w:t>
      </w:r>
      <w:r>
        <w:rPr>
          <w:rFonts w:asciiTheme="majorHAnsi" w:hAnsiTheme="majorHAnsi" w:cstheme="majorHAnsi"/>
          <w:sz w:val="20"/>
          <w:szCs w:val="20"/>
        </w:rPr>
        <w:t>.</w:t>
      </w:r>
    </w:p>
    <w:p w14:paraId="2B2CC832" w14:textId="77777777" w:rsidR="00E93CB6" w:rsidRDefault="00E93CB6" w:rsidP="00727D1A">
      <w:pPr>
        <w:spacing w:after="120" w:line="276" w:lineRule="auto"/>
        <w:contextualSpacing/>
        <w:jc w:val="both"/>
        <w:rPr>
          <w:rFonts w:asciiTheme="majorHAnsi" w:eastAsia="Times New Roman" w:hAnsiTheme="majorHAnsi" w:cstheme="majorHAnsi"/>
          <w:sz w:val="20"/>
          <w:szCs w:val="20"/>
          <w:lang w:eastAsia="it-IT"/>
        </w:rPr>
      </w:pPr>
    </w:p>
    <w:p w14:paraId="1A8EA391" w14:textId="0ADF14C7"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Il calcolo del vincolo del 40% deve essere eseguito come segue: </w:t>
      </w:r>
    </w:p>
    <w:p w14:paraId="48EDBD09" w14:textId="295445F1"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A = Spese ammissibili </w:t>
      </w:r>
      <w:r w:rsidR="005416F7" w:rsidRPr="00001BE7">
        <w:rPr>
          <w:rFonts w:asciiTheme="majorHAnsi" w:eastAsia="Times New Roman" w:hAnsiTheme="majorHAnsi" w:cstheme="majorHAnsi"/>
          <w:sz w:val="20"/>
          <w:szCs w:val="20"/>
          <w:lang w:eastAsia="it-IT"/>
        </w:rPr>
        <w:t xml:space="preserve">al </w:t>
      </w:r>
      <w:r w:rsidRPr="00001BE7">
        <w:rPr>
          <w:rFonts w:asciiTheme="majorHAnsi" w:eastAsia="Times New Roman" w:hAnsiTheme="majorHAnsi" w:cstheme="majorHAnsi"/>
          <w:sz w:val="20"/>
          <w:szCs w:val="20"/>
          <w:lang w:eastAsia="it-IT"/>
        </w:rPr>
        <w:t>Titolo II</w:t>
      </w:r>
      <w:r w:rsidR="008E268D" w:rsidRPr="00001BE7">
        <w:rPr>
          <w:rFonts w:asciiTheme="majorHAnsi" w:eastAsia="Times New Roman" w:hAnsiTheme="majorHAnsi" w:cstheme="majorHAnsi"/>
          <w:sz w:val="20"/>
          <w:szCs w:val="20"/>
          <w:lang w:eastAsia="it-IT"/>
        </w:rPr>
        <w:t xml:space="preserve"> (art. 38 + art. 38 bis)</w:t>
      </w:r>
      <w:r w:rsidR="005416F7" w:rsidRPr="00001BE7">
        <w:rPr>
          <w:rFonts w:asciiTheme="majorHAnsi" w:eastAsia="Times New Roman" w:hAnsiTheme="majorHAnsi" w:cstheme="majorHAnsi"/>
          <w:sz w:val="20"/>
          <w:szCs w:val="20"/>
          <w:lang w:eastAsia="it-IT"/>
        </w:rPr>
        <w:t>,</w:t>
      </w:r>
      <w:r w:rsidRPr="00001BE7">
        <w:rPr>
          <w:rFonts w:asciiTheme="majorHAnsi" w:eastAsia="Times New Roman" w:hAnsiTheme="majorHAnsi" w:cstheme="majorHAnsi"/>
          <w:sz w:val="20"/>
          <w:szCs w:val="20"/>
          <w:lang w:eastAsia="it-IT"/>
        </w:rPr>
        <w:t xml:space="preserve"> al netto degli impianti di generazione</w:t>
      </w:r>
      <w:r w:rsidR="005416F7" w:rsidRPr="00001BE7">
        <w:rPr>
          <w:rFonts w:asciiTheme="majorHAnsi" w:eastAsia="Times New Roman" w:hAnsiTheme="majorHAnsi" w:cstheme="majorHAnsi"/>
          <w:sz w:val="20"/>
          <w:szCs w:val="20"/>
          <w:lang w:eastAsia="it-IT"/>
        </w:rPr>
        <w:t xml:space="preserve"> FER</w:t>
      </w:r>
    </w:p>
    <w:p w14:paraId="1D4F99E6" w14:textId="31BB4B13"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B = Spese previste</w:t>
      </w:r>
      <w:r w:rsidR="005416F7" w:rsidRPr="00001BE7">
        <w:rPr>
          <w:rFonts w:asciiTheme="majorHAnsi" w:eastAsia="Times New Roman" w:hAnsiTheme="majorHAnsi" w:cstheme="majorHAnsi"/>
          <w:sz w:val="20"/>
          <w:szCs w:val="20"/>
          <w:lang w:eastAsia="it-IT"/>
        </w:rPr>
        <w:t xml:space="preserve"> per</w:t>
      </w:r>
      <w:r w:rsidRPr="00001BE7">
        <w:rPr>
          <w:rFonts w:asciiTheme="majorHAnsi" w:eastAsia="Times New Roman" w:hAnsiTheme="majorHAnsi" w:cstheme="majorHAnsi"/>
          <w:sz w:val="20"/>
          <w:szCs w:val="20"/>
          <w:lang w:eastAsia="it-IT"/>
        </w:rPr>
        <w:t xml:space="preserve"> impianti generazione</w:t>
      </w:r>
      <w:r w:rsidR="005416F7" w:rsidRPr="00001BE7">
        <w:rPr>
          <w:rFonts w:asciiTheme="majorHAnsi" w:eastAsia="Times New Roman" w:hAnsiTheme="majorHAnsi" w:cstheme="majorHAnsi"/>
          <w:sz w:val="20"/>
          <w:szCs w:val="20"/>
          <w:lang w:eastAsia="it-IT"/>
        </w:rPr>
        <w:t xml:space="preserve"> FER</w:t>
      </w:r>
    </w:p>
    <w:p w14:paraId="62CA5AF0" w14:textId="2429B9D9"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 = Massima spes</w:t>
      </w:r>
      <w:r w:rsidR="00E93CB6">
        <w:rPr>
          <w:rFonts w:asciiTheme="majorHAnsi" w:eastAsia="Times New Roman" w:hAnsiTheme="majorHAnsi" w:cstheme="majorHAnsi"/>
          <w:sz w:val="20"/>
          <w:szCs w:val="20"/>
          <w:lang w:eastAsia="it-IT"/>
        </w:rPr>
        <w:t>a</w:t>
      </w:r>
      <w:r w:rsidRPr="00001BE7">
        <w:rPr>
          <w:rFonts w:asciiTheme="majorHAnsi" w:eastAsia="Times New Roman" w:hAnsiTheme="majorHAnsi" w:cstheme="majorHAnsi"/>
          <w:sz w:val="20"/>
          <w:szCs w:val="20"/>
          <w:lang w:eastAsia="it-IT"/>
        </w:rPr>
        <w:t xml:space="preserve"> ammissibile</w:t>
      </w:r>
      <w:r w:rsidR="005416F7" w:rsidRPr="00001BE7">
        <w:rPr>
          <w:rFonts w:asciiTheme="majorHAnsi" w:eastAsia="Times New Roman" w:hAnsiTheme="majorHAnsi" w:cstheme="majorHAnsi"/>
          <w:sz w:val="20"/>
          <w:szCs w:val="20"/>
          <w:lang w:eastAsia="it-IT"/>
        </w:rPr>
        <w:t xml:space="preserve"> per</w:t>
      </w:r>
      <w:r w:rsidRPr="00001BE7">
        <w:rPr>
          <w:rFonts w:asciiTheme="majorHAnsi" w:eastAsia="Times New Roman" w:hAnsiTheme="majorHAnsi" w:cstheme="majorHAnsi"/>
          <w:sz w:val="20"/>
          <w:szCs w:val="20"/>
          <w:lang w:eastAsia="it-IT"/>
        </w:rPr>
        <w:t xml:space="preserve"> impianti di generazione </w:t>
      </w:r>
      <w:r w:rsidR="005416F7" w:rsidRPr="00001BE7">
        <w:rPr>
          <w:rFonts w:asciiTheme="majorHAnsi" w:eastAsia="Times New Roman" w:hAnsiTheme="majorHAnsi" w:cstheme="majorHAnsi"/>
          <w:sz w:val="20"/>
          <w:szCs w:val="20"/>
          <w:lang w:eastAsia="it-IT"/>
        </w:rPr>
        <w:t xml:space="preserve">FER </w:t>
      </w:r>
      <w:r w:rsidRPr="00001BE7">
        <w:rPr>
          <w:rFonts w:asciiTheme="majorHAnsi" w:eastAsia="Times New Roman" w:hAnsiTheme="majorHAnsi" w:cstheme="majorHAnsi"/>
          <w:sz w:val="20"/>
          <w:szCs w:val="20"/>
          <w:lang w:eastAsia="it-IT"/>
        </w:rPr>
        <w:t>= (A/0,</w:t>
      </w:r>
      <w:proofErr w:type="gramStart"/>
      <w:r w:rsidRPr="00001BE7">
        <w:rPr>
          <w:rFonts w:asciiTheme="majorHAnsi" w:eastAsia="Times New Roman" w:hAnsiTheme="majorHAnsi" w:cstheme="majorHAnsi"/>
          <w:sz w:val="20"/>
          <w:szCs w:val="20"/>
          <w:lang w:eastAsia="it-IT"/>
        </w:rPr>
        <w:t>6)-</w:t>
      </w:r>
      <w:proofErr w:type="gramEnd"/>
      <w:r w:rsidRPr="00001BE7">
        <w:rPr>
          <w:rFonts w:asciiTheme="majorHAnsi" w:eastAsia="Times New Roman" w:hAnsiTheme="majorHAnsi" w:cstheme="majorHAnsi"/>
          <w:sz w:val="20"/>
          <w:szCs w:val="20"/>
          <w:lang w:eastAsia="it-IT"/>
        </w:rPr>
        <w:t>A</w:t>
      </w:r>
    </w:p>
    <w:p w14:paraId="3109B5D8" w14:textId="24F7E9F9"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A + C = totale spese</w:t>
      </w:r>
      <w:r w:rsidR="005416F7" w:rsidRPr="00001BE7">
        <w:rPr>
          <w:rFonts w:asciiTheme="majorHAnsi" w:eastAsia="Times New Roman" w:hAnsiTheme="majorHAnsi" w:cstheme="majorHAnsi"/>
          <w:sz w:val="20"/>
          <w:szCs w:val="20"/>
          <w:lang w:eastAsia="it-IT"/>
        </w:rPr>
        <w:t xml:space="preserve"> massime</w:t>
      </w:r>
      <w:r w:rsidRPr="00001BE7">
        <w:rPr>
          <w:rFonts w:asciiTheme="majorHAnsi" w:eastAsia="Times New Roman" w:hAnsiTheme="majorHAnsi" w:cstheme="majorHAnsi"/>
          <w:sz w:val="20"/>
          <w:szCs w:val="20"/>
          <w:lang w:eastAsia="it-IT"/>
        </w:rPr>
        <w:t xml:space="preserve"> ammissibili</w:t>
      </w:r>
    </w:p>
    <w:p w14:paraId="6D01A0C7" w14:textId="26964573" w:rsidR="00E93CB6"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D =</w:t>
      </w:r>
      <w:r w:rsidR="00620867" w:rsidRPr="00001BE7">
        <w:rPr>
          <w:rFonts w:asciiTheme="majorHAnsi" w:eastAsia="Times New Roman" w:hAnsiTheme="majorHAnsi" w:cstheme="majorHAnsi"/>
          <w:sz w:val="20"/>
          <w:szCs w:val="20"/>
          <w:lang w:eastAsia="it-IT"/>
        </w:rPr>
        <w:t xml:space="preserve"> Quota di impianti di generazione </w:t>
      </w:r>
      <w:r w:rsidR="005416F7" w:rsidRPr="00001BE7">
        <w:rPr>
          <w:rFonts w:asciiTheme="majorHAnsi" w:eastAsia="Times New Roman" w:hAnsiTheme="majorHAnsi" w:cstheme="majorHAnsi"/>
          <w:sz w:val="20"/>
          <w:szCs w:val="20"/>
          <w:lang w:eastAsia="it-IT"/>
        </w:rPr>
        <w:t xml:space="preserve">FER </w:t>
      </w:r>
      <w:r w:rsidR="00620867" w:rsidRPr="00001BE7">
        <w:rPr>
          <w:rFonts w:asciiTheme="majorHAnsi" w:eastAsia="Times New Roman" w:hAnsiTheme="majorHAnsi" w:cstheme="majorHAnsi"/>
          <w:sz w:val="20"/>
          <w:szCs w:val="20"/>
          <w:lang w:eastAsia="it-IT"/>
        </w:rPr>
        <w:t>non ammissibile =</w:t>
      </w:r>
      <w:r w:rsidRPr="00001BE7">
        <w:rPr>
          <w:rFonts w:asciiTheme="majorHAnsi" w:eastAsia="Times New Roman" w:hAnsiTheme="majorHAnsi" w:cstheme="majorHAnsi"/>
          <w:sz w:val="20"/>
          <w:szCs w:val="20"/>
          <w:lang w:eastAsia="it-IT"/>
        </w:rPr>
        <w:t xml:space="preserve"> B – C</w:t>
      </w:r>
    </w:p>
    <w:p w14:paraId="20D5F2D6" w14:textId="77777777" w:rsidR="00CA6639" w:rsidRDefault="00CA6639" w:rsidP="00727D1A">
      <w:pPr>
        <w:spacing w:after="120" w:line="276" w:lineRule="auto"/>
        <w:jc w:val="both"/>
        <w:rPr>
          <w:rFonts w:asciiTheme="majorHAnsi" w:eastAsia="Times New Roman" w:hAnsiTheme="majorHAnsi" w:cstheme="majorHAnsi"/>
          <w:sz w:val="20"/>
          <w:szCs w:val="20"/>
          <w:lang w:eastAsia="it-IT"/>
        </w:rPr>
      </w:pPr>
    </w:p>
    <w:p w14:paraId="5E3AB7C4" w14:textId="5C12658F" w:rsidR="00A85D15" w:rsidRDefault="00CA6639" w:rsidP="00727D1A">
      <w:pPr>
        <w:spacing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Si specifica che, n</w:t>
      </w:r>
      <w:r w:rsidR="00001BE7" w:rsidRPr="00001BE7">
        <w:rPr>
          <w:rFonts w:asciiTheme="majorHAnsi" w:eastAsia="Times New Roman" w:hAnsiTheme="majorHAnsi" w:cstheme="majorHAnsi"/>
          <w:sz w:val="20"/>
          <w:szCs w:val="20"/>
          <w:lang w:eastAsia="it-IT"/>
        </w:rPr>
        <w:t>ell’ambito dei progetti presentati ai sensi dell’art. 41 GBER</w:t>
      </w:r>
      <w:r>
        <w:rPr>
          <w:rFonts w:asciiTheme="majorHAnsi" w:eastAsia="Times New Roman" w:hAnsiTheme="majorHAnsi" w:cstheme="majorHAnsi"/>
          <w:sz w:val="20"/>
          <w:szCs w:val="20"/>
          <w:lang w:eastAsia="it-IT"/>
        </w:rPr>
        <w:t>,</w:t>
      </w:r>
      <w:r w:rsidR="00001BE7" w:rsidRPr="00001BE7">
        <w:rPr>
          <w:rFonts w:asciiTheme="majorHAnsi" w:eastAsia="Times New Roman" w:hAnsiTheme="majorHAnsi" w:cstheme="majorHAnsi"/>
          <w:sz w:val="20"/>
          <w:szCs w:val="20"/>
          <w:lang w:eastAsia="it-IT"/>
        </w:rPr>
        <w:t xml:space="preserve"> è necessario f</w:t>
      </w:r>
      <w:r w:rsidR="00A85D15" w:rsidRPr="00001BE7">
        <w:rPr>
          <w:rFonts w:asciiTheme="majorHAnsi" w:eastAsia="Times New Roman" w:hAnsiTheme="majorHAnsi" w:cstheme="majorHAnsi"/>
          <w:sz w:val="20"/>
          <w:szCs w:val="20"/>
          <w:lang w:eastAsia="it-IT"/>
        </w:rPr>
        <w:t>ornire indicazioni in merito alle caratteristiche tecniche dell’intervento FER proposto</w:t>
      </w:r>
      <w:r w:rsidR="00D074FF" w:rsidRPr="00001BE7">
        <w:rPr>
          <w:rFonts w:asciiTheme="majorHAnsi" w:eastAsia="Times New Roman" w:hAnsiTheme="majorHAnsi" w:cstheme="majorHAnsi"/>
          <w:sz w:val="20"/>
          <w:szCs w:val="20"/>
          <w:lang w:eastAsia="it-IT"/>
        </w:rPr>
        <w:t xml:space="preserve"> e a </w:t>
      </w:r>
      <w:proofErr w:type="spellStart"/>
      <w:proofErr w:type="gramStart"/>
      <w:r w:rsidR="00D074FF" w:rsidRPr="00001BE7">
        <w:rPr>
          <w:rFonts w:asciiTheme="majorHAnsi" w:eastAsia="Times New Roman" w:hAnsiTheme="majorHAnsi" w:cstheme="majorHAnsi"/>
          <w:sz w:val="20"/>
          <w:szCs w:val="20"/>
          <w:lang w:eastAsia="it-IT"/>
        </w:rPr>
        <w:t>pre</w:t>
      </w:r>
      <w:proofErr w:type="spellEnd"/>
      <w:r w:rsidR="00D074FF" w:rsidRPr="00001BE7">
        <w:rPr>
          <w:rFonts w:asciiTheme="majorHAnsi" w:eastAsia="Times New Roman" w:hAnsiTheme="majorHAnsi" w:cstheme="majorHAnsi"/>
          <w:sz w:val="20"/>
          <w:szCs w:val="20"/>
          <w:lang w:eastAsia="it-IT"/>
        </w:rPr>
        <w:t>-esistenti</w:t>
      </w:r>
      <w:proofErr w:type="gramEnd"/>
      <w:r w:rsidR="00D074FF" w:rsidRPr="00001BE7">
        <w:rPr>
          <w:rFonts w:asciiTheme="majorHAnsi" w:eastAsia="Times New Roman" w:hAnsiTheme="majorHAnsi" w:cstheme="majorHAnsi"/>
          <w:sz w:val="20"/>
          <w:szCs w:val="20"/>
          <w:lang w:eastAsia="it-IT"/>
        </w:rPr>
        <w:t xml:space="preserve"> impianti di generazione elettrica da FER</w:t>
      </w:r>
      <w:r w:rsidR="00A85D15" w:rsidRPr="00001BE7">
        <w:rPr>
          <w:rFonts w:asciiTheme="majorHAnsi" w:eastAsia="Times New Roman" w:hAnsiTheme="majorHAnsi" w:cstheme="majorHAnsi"/>
          <w:sz w:val="20"/>
          <w:szCs w:val="20"/>
          <w:lang w:eastAsia="it-IT"/>
        </w:rPr>
        <w:t>.</w:t>
      </w:r>
    </w:p>
    <w:p w14:paraId="1240978F" w14:textId="3AE5D244" w:rsidR="002601EF" w:rsidRPr="00001BE7" w:rsidRDefault="00A85D15" w:rsidP="00727D1A">
      <w:pPr>
        <w:spacing w:after="120" w:line="276" w:lineRule="auto"/>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ESEMPIO</w:t>
      </w:r>
      <w:r w:rsidR="00CA6639">
        <w:rPr>
          <w:rFonts w:asciiTheme="majorHAnsi" w:eastAsia="Times New Roman" w:hAnsiTheme="majorHAnsi" w:cstheme="majorHAnsi"/>
          <w:sz w:val="20"/>
          <w:szCs w:val="20"/>
          <w:lang w:eastAsia="it-IT"/>
        </w:rPr>
        <w:t xml:space="preserve"> - </w:t>
      </w:r>
      <w:r w:rsidRPr="00001BE7">
        <w:rPr>
          <w:rFonts w:asciiTheme="majorHAnsi" w:eastAsia="Times New Roman" w:hAnsiTheme="majorHAnsi" w:cstheme="majorHAnsi"/>
          <w:sz w:val="20"/>
          <w:szCs w:val="20"/>
          <w:lang w:eastAsia="it-IT"/>
        </w:rPr>
        <w:t xml:space="preserve">per un impianto </w:t>
      </w:r>
      <w:r w:rsidR="00A90CBB" w:rsidRPr="00001BE7">
        <w:rPr>
          <w:rFonts w:asciiTheme="majorHAnsi" w:eastAsia="Times New Roman" w:hAnsiTheme="majorHAnsi" w:cstheme="majorHAnsi"/>
          <w:sz w:val="20"/>
          <w:szCs w:val="20"/>
          <w:lang w:eastAsia="it-IT"/>
        </w:rPr>
        <w:t>fotovoltaico</w:t>
      </w:r>
      <w:r w:rsidRPr="00001BE7">
        <w:rPr>
          <w:rFonts w:asciiTheme="majorHAnsi" w:eastAsia="Times New Roman" w:hAnsiTheme="majorHAnsi" w:cstheme="majorHAnsi"/>
          <w:sz w:val="20"/>
          <w:szCs w:val="20"/>
          <w:lang w:eastAsia="it-IT"/>
        </w:rPr>
        <w:t xml:space="preserve"> fornire:</w:t>
      </w:r>
    </w:p>
    <w:p w14:paraId="27CACD1B" w14:textId="6ADCF80C"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caratteristiche del pannello scelto</w:t>
      </w:r>
      <w:r w:rsidR="00A90CBB" w:rsidRPr="00001BE7">
        <w:rPr>
          <w:rFonts w:asciiTheme="majorHAnsi" w:eastAsia="Times New Roman" w:hAnsiTheme="majorHAnsi" w:cstheme="majorHAnsi"/>
          <w:sz w:val="20"/>
          <w:szCs w:val="20"/>
          <w:lang w:eastAsia="it-IT"/>
        </w:rPr>
        <w:t xml:space="preserve"> (tecnologia, dimensioni, potenza di picco)</w:t>
      </w:r>
      <w:r w:rsidR="00001BE7">
        <w:rPr>
          <w:rFonts w:asciiTheme="majorHAnsi" w:eastAsia="Times New Roman" w:hAnsiTheme="majorHAnsi" w:cstheme="majorHAnsi"/>
          <w:sz w:val="20"/>
          <w:szCs w:val="20"/>
          <w:lang w:eastAsia="it-IT"/>
        </w:rPr>
        <w:t>;</w:t>
      </w:r>
    </w:p>
    <w:p w14:paraId="087D3FFB" w14:textId="7C494406" w:rsidR="00A85D15" w:rsidRPr="00001BE7" w:rsidRDefault="007A624D"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numero di </w:t>
      </w:r>
      <w:r w:rsidR="00A85D15" w:rsidRPr="00001BE7">
        <w:rPr>
          <w:rFonts w:asciiTheme="majorHAnsi" w:eastAsia="Times New Roman" w:hAnsiTheme="majorHAnsi" w:cstheme="majorHAnsi"/>
          <w:sz w:val="20"/>
          <w:szCs w:val="20"/>
          <w:lang w:eastAsia="it-IT"/>
        </w:rPr>
        <w:t>stringhe</w:t>
      </w:r>
      <w:r w:rsidR="00001BE7">
        <w:rPr>
          <w:rFonts w:asciiTheme="majorHAnsi" w:eastAsia="Times New Roman" w:hAnsiTheme="majorHAnsi" w:cstheme="majorHAnsi"/>
          <w:sz w:val="20"/>
          <w:szCs w:val="20"/>
          <w:lang w:eastAsia="it-IT"/>
        </w:rPr>
        <w:t>;</w:t>
      </w:r>
    </w:p>
    <w:p w14:paraId="5B684CA8" w14:textId="11F29BD0"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potenza</w:t>
      </w:r>
      <w:r w:rsidR="00A90CBB" w:rsidRPr="00001BE7">
        <w:rPr>
          <w:rFonts w:asciiTheme="majorHAnsi" w:eastAsia="Times New Roman" w:hAnsiTheme="majorHAnsi" w:cstheme="majorHAnsi"/>
          <w:sz w:val="20"/>
          <w:szCs w:val="20"/>
          <w:lang w:eastAsia="it-IT"/>
        </w:rPr>
        <w:t xml:space="preserve"> di picco</w:t>
      </w:r>
      <w:r w:rsidRPr="00001BE7">
        <w:rPr>
          <w:rFonts w:asciiTheme="majorHAnsi" w:eastAsia="Times New Roman" w:hAnsiTheme="majorHAnsi" w:cstheme="majorHAnsi"/>
          <w:sz w:val="20"/>
          <w:szCs w:val="20"/>
          <w:lang w:eastAsia="it-IT"/>
        </w:rPr>
        <w:t xml:space="preserve"> complessiva</w:t>
      </w:r>
      <w:r w:rsidR="00D074FF" w:rsidRPr="00001BE7">
        <w:rPr>
          <w:rFonts w:asciiTheme="majorHAnsi" w:eastAsia="Times New Roman" w:hAnsiTheme="majorHAnsi" w:cstheme="majorHAnsi"/>
          <w:sz w:val="20"/>
          <w:szCs w:val="20"/>
          <w:lang w:eastAsia="it-IT"/>
        </w:rPr>
        <w:t xml:space="preserve"> e numero di pannelli</w:t>
      </w:r>
      <w:r w:rsidR="00001BE7">
        <w:rPr>
          <w:rFonts w:asciiTheme="majorHAnsi" w:eastAsia="Times New Roman" w:hAnsiTheme="majorHAnsi" w:cstheme="majorHAnsi"/>
          <w:sz w:val="20"/>
          <w:szCs w:val="20"/>
          <w:lang w:eastAsia="it-IT"/>
        </w:rPr>
        <w:t>;</w:t>
      </w:r>
    </w:p>
    <w:p w14:paraId="7D2C1A08" w14:textId="6DBB68F7"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azimut e inclinazione dell’impianto</w:t>
      </w:r>
      <w:r w:rsidR="00001BE7">
        <w:rPr>
          <w:rFonts w:asciiTheme="majorHAnsi" w:eastAsia="Times New Roman" w:hAnsiTheme="majorHAnsi" w:cstheme="majorHAnsi"/>
          <w:sz w:val="20"/>
          <w:szCs w:val="20"/>
          <w:lang w:eastAsia="it-IT"/>
        </w:rPr>
        <w:t>;</w:t>
      </w:r>
    </w:p>
    <w:p w14:paraId="0CCCE8F3" w14:textId="1F9EB7D3"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individuazione univoca dell’area di installazione</w:t>
      </w:r>
      <w:r w:rsidR="00A90CBB" w:rsidRPr="00001BE7">
        <w:rPr>
          <w:rFonts w:asciiTheme="majorHAnsi" w:eastAsia="Times New Roman" w:hAnsiTheme="majorHAnsi" w:cstheme="majorHAnsi"/>
          <w:sz w:val="20"/>
          <w:szCs w:val="20"/>
          <w:lang w:eastAsia="it-IT"/>
        </w:rPr>
        <w:t>, compatibile con la superficie dell’impianto,</w:t>
      </w:r>
      <w:r w:rsidRPr="00001BE7">
        <w:rPr>
          <w:rFonts w:asciiTheme="majorHAnsi" w:eastAsia="Times New Roman" w:hAnsiTheme="majorHAnsi" w:cstheme="majorHAnsi"/>
          <w:sz w:val="20"/>
          <w:szCs w:val="20"/>
          <w:lang w:eastAsia="it-IT"/>
        </w:rPr>
        <w:t xml:space="preserve"> mediante immagini di </w:t>
      </w:r>
      <w:proofErr w:type="spellStart"/>
      <w:r w:rsidRPr="00001BE7">
        <w:rPr>
          <w:rFonts w:asciiTheme="majorHAnsi" w:eastAsia="Times New Roman" w:hAnsiTheme="majorHAnsi" w:cstheme="majorHAnsi"/>
          <w:sz w:val="20"/>
          <w:szCs w:val="20"/>
          <w:lang w:eastAsia="it-IT"/>
        </w:rPr>
        <w:t>google</w:t>
      </w:r>
      <w:proofErr w:type="spellEnd"/>
      <w:r w:rsidRPr="00001BE7">
        <w:rPr>
          <w:rFonts w:asciiTheme="majorHAnsi" w:eastAsia="Times New Roman" w:hAnsiTheme="majorHAnsi" w:cstheme="majorHAnsi"/>
          <w:sz w:val="20"/>
          <w:szCs w:val="20"/>
          <w:lang w:eastAsia="it-IT"/>
        </w:rPr>
        <w:t xml:space="preserve"> </w:t>
      </w:r>
      <w:proofErr w:type="spellStart"/>
      <w:r w:rsidRPr="00001BE7">
        <w:rPr>
          <w:rFonts w:asciiTheme="majorHAnsi" w:eastAsia="Times New Roman" w:hAnsiTheme="majorHAnsi" w:cstheme="majorHAnsi"/>
          <w:sz w:val="20"/>
          <w:szCs w:val="20"/>
          <w:lang w:eastAsia="it-IT"/>
        </w:rPr>
        <w:t>earth</w:t>
      </w:r>
      <w:proofErr w:type="spellEnd"/>
      <w:r w:rsidR="00001BE7">
        <w:rPr>
          <w:rFonts w:asciiTheme="majorHAnsi" w:eastAsia="Times New Roman" w:hAnsiTheme="majorHAnsi" w:cstheme="majorHAnsi"/>
          <w:sz w:val="20"/>
          <w:szCs w:val="20"/>
          <w:lang w:eastAsia="it-IT"/>
        </w:rPr>
        <w:t>;</w:t>
      </w:r>
    </w:p>
    <w:p w14:paraId="68E00638" w14:textId="7C4FF6D0"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curva di producibilità</w:t>
      </w:r>
      <w:r w:rsidR="007A624D" w:rsidRPr="00001BE7">
        <w:rPr>
          <w:rFonts w:asciiTheme="majorHAnsi" w:eastAsia="Times New Roman" w:hAnsiTheme="majorHAnsi" w:cstheme="majorHAnsi"/>
          <w:sz w:val="20"/>
          <w:szCs w:val="20"/>
          <w:lang w:eastAsia="it-IT"/>
        </w:rPr>
        <w:t xml:space="preserve"> annuale</w:t>
      </w:r>
      <w:r w:rsidR="00001BE7">
        <w:rPr>
          <w:rFonts w:asciiTheme="majorHAnsi" w:eastAsia="Times New Roman" w:hAnsiTheme="majorHAnsi" w:cstheme="majorHAnsi"/>
          <w:sz w:val="20"/>
          <w:szCs w:val="20"/>
          <w:lang w:eastAsia="it-IT"/>
        </w:rPr>
        <w:t>;</w:t>
      </w:r>
    </w:p>
    <w:p w14:paraId="192CF608" w14:textId="5DD67A29"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producibilità</w:t>
      </w:r>
      <w:r w:rsidR="007A624D" w:rsidRPr="00001BE7">
        <w:rPr>
          <w:rFonts w:asciiTheme="majorHAnsi" w:eastAsia="Times New Roman" w:hAnsiTheme="majorHAnsi" w:cstheme="majorHAnsi"/>
          <w:sz w:val="20"/>
          <w:szCs w:val="20"/>
          <w:lang w:eastAsia="it-IT"/>
        </w:rPr>
        <w:t xml:space="preserve"> annuale</w:t>
      </w:r>
      <w:r w:rsidRPr="00001BE7">
        <w:rPr>
          <w:rFonts w:asciiTheme="majorHAnsi" w:eastAsia="Times New Roman" w:hAnsiTheme="majorHAnsi" w:cstheme="majorHAnsi"/>
          <w:sz w:val="20"/>
          <w:szCs w:val="20"/>
          <w:lang w:eastAsia="it-IT"/>
        </w:rPr>
        <w:t xml:space="preserve"> totale stimata mediante </w:t>
      </w:r>
      <w:proofErr w:type="spellStart"/>
      <w:r w:rsidRPr="00001BE7">
        <w:rPr>
          <w:rFonts w:asciiTheme="majorHAnsi" w:eastAsia="Times New Roman" w:hAnsiTheme="majorHAnsi" w:cstheme="majorHAnsi"/>
          <w:sz w:val="20"/>
          <w:szCs w:val="20"/>
          <w:lang w:eastAsia="it-IT"/>
        </w:rPr>
        <w:t>PVgis</w:t>
      </w:r>
      <w:proofErr w:type="spellEnd"/>
      <w:r w:rsidR="00307C04" w:rsidRPr="00001BE7">
        <w:rPr>
          <w:rFonts w:asciiTheme="majorHAnsi" w:eastAsia="Times New Roman" w:hAnsiTheme="majorHAnsi" w:cstheme="majorHAnsi"/>
          <w:sz w:val="20"/>
          <w:szCs w:val="20"/>
          <w:lang w:eastAsia="it-IT"/>
        </w:rPr>
        <w:t xml:space="preserve"> (</w:t>
      </w:r>
      <w:hyperlink r:id="rId13" w:history="1">
        <w:r w:rsidR="00307C04" w:rsidRPr="00001BE7">
          <w:rPr>
            <w:rStyle w:val="Collegamentoipertestuale"/>
            <w:rFonts w:asciiTheme="majorHAnsi" w:eastAsia="Times New Roman" w:hAnsiTheme="majorHAnsi" w:cstheme="majorHAnsi"/>
            <w:sz w:val="20"/>
            <w:szCs w:val="20"/>
            <w:lang w:eastAsia="it-IT"/>
          </w:rPr>
          <w:t>https://re.jrc.ec.europa.eu/pvg_tools/en/</w:t>
        </w:r>
      </w:hyperlink>
      <w:r w:rsidR="00307C04" w:rsidRPr="00001BE7">
        <w:rPr>
          <w:rFonts w:asciiTheme="majorHAnsi" w:eastAsia="Times New Roman" w:hAnsiTheme="majorHAnsi" w:cstheme="majorHAnsi"/>
          <w:sz w:val="20"/>
          <w:szCs w:val="20"/>
          <w:lang w:eastAsia="it-IT"/>
        </w:rPr>
        <w:t>)</w:t>
      </w:r>
      <w:r w:rsidR="00001BE7">
        <w:rPr>
          <w:rFonts w:asciiTheme="majorHAnsi" w:eastAsia="Times New Roman" w:hAnsiTheme="majorHAnsi" w:cstheme="majorHAnsi"/>
          <w:sz w:val="20"/>
          <w:szCs w:val="20"/>
          <w:lang w:eastAsia="it-IT"/>
        </w:rPr>
        <w:t>;</w:t>
      </w:r>
      <w:r w:rsidR="00307C04" w:rsidRPr="00001BE7">
        <w:rPr>
          <w:rFonts w:asciiTheme="majorHAnsi" w:eastAsia="Times New Roman" w:hAnsiTheme="majorHAnsi" w:cstheme="majorHAnsi"/>
          <w:sz w:val="20"/>
          <w:szCs w:val="20"/>
          <w:lang w:eastAsia="it-IT"/>
        </w:rPr>
        <w:t xml:space="preserve"> </w:t>
      </w:r>
    </w:p>
    <w:p w14:paraId="10F93508" w14:textId="0943741A" w:rsidR="00A90CBB" w:rsidRPr="00CA6639"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percentuale</w:t>
      </w:r>
      <w:r w:rsidR="007A624D" w:rsidRPr="00001BE7">
        <w:rPr>
          <w:rFonts w:asciiTheme="majorHAnsi" w:eastAsia="Times New Roman" w:hAnsiTheme="majorHAnsi" w:cstheme="majorHAnsi"/>
          <w:sz w:val="20"/>
          <w:szCs w:val="20"/>
          <w:lang w:eastAsia="it-IT"/>
        </w:rPr>
        <w:t xml:space="preserve"> annuale</w:t>
      </w:r>
      <w:r w:rsidRPr="00001BE7">
        <w:rPr>
          <w:rFonts w:asciiTheme="majorHAnsi" w:eastAsia="Times New Roman" w:hAnsiTheme="majorHAnsi" w:cstheme="majorHAnsi"/>
          <w:sz w:val="20"/>
          <w:szCs w:val="20"/>
          <w:lang w:eastAsia="it-IT"/>
        </w:rPr>
        <w:t xml:space="preserve"> di autoconsumo attesa</w:t>
      </w:r>
      <w:r w:rsidR="00CA6639">
        <w:rPr>
          <w:rFonts w:asciiTheme="majorHAnsi" w:eastAsia="Times New Roman" w:hAnsiTheme="majorHAnsi" w:cstheme="majorHAnsi"/>
          <w:sz w:val="20"/>
          <w:szCs w:val="20"/>
          <w:lang w:eastAsia="it-IT"/>
        </w:rPr>
        <w:t>.</w:t>
      </w:r>
    </w:p>
    <w:p w14:paraId="4CF9373D" w14:textId="61A7B4B0" w:rsidR="00403C35" w:rsidRDefault="00CA6639" w:rsidP="00727D1A">
      <w:pPr>
        <w:spacing w:after="120" w:line="276" w:lineRule="auto"/>
        <w:jc w:val="both"/>
        <w:rPr>
          <w:rFonts w:asciiTheme="majorHAnsi" w:hAnsiTheme="majorHAnsi" w:cstheme="majorHAnsi"/>
          <w:sz w:val="20"/>
          <w:szCs w:val="20"/>
        </w:rPr>
        <w:sectPr w:rsidR="00403C35" w:rsidSect="00E772D9">
          <w:footerReference w:type="default" r:id="rId14"/>
          <w:pgSz w:w="11906" w:h="16838"/>
          <w:pgMar w:top="1418" w:right="1134" w:bottom="1134" w:left="1134" w:header="709" w:footer="709" w:gutter="0"/>
          <w:cols w:space="708"/>
          <w:docGrid w:linePitch="360"/>
        </w:sectPr>
      </w:pPr>
      <w:r>
        <w:rPr>
          <w:rFonts w:asciiTheme="majorHAnsi" w:eastAsia="Times New Roman" w:hAnsiTheme="majorHAnsi" w:cstheme="majorHAnsi"/>
          <w:sz w:val="20"/>
          <w:szCs w:val="20"/>
          <w:lang w:eastAsia="it-IT"/>
        </w:rPr>
        <w:t>Infine, ai fini della quantificazione degli obiettivi ambientali, q</w:t>
      </w:r>
      <w:r w:rsidR="00C17C1D" w:rsidRPr="00001BE7">
        <w:rPr>
          <w:rFonts w:asciiTheme="majorHAnsi" w:eastAsia="Times New Roman" w:hAnsiTheme="majorHAnsi" w:cstheme="majorHAnsi"/>
          <w:sz w:val="20"/>
          <w:szCs w:val="20"/>
          <w:lang w:eastAsia="it-IT"/>
        </w:rPr>
        <w:t>ualora l’autoproduzione totale non sia pari alla somma dei singoli interventi ma funzione di eventuali effetti secondari, descrivere tali effetti secondari e come sono stati v</w:t>
      </w:r>
      <w:r w:rsidR="00E772D9">
        <w:rPr>
          <w:rFonts w:asciiTheme="majorHAnsi" w:eastAsia="Times New Roman" w:hAnsiTheme="majorHAnsi" w:cstheme="majorHAnsi"/>
          <w:sz w:val="20"/>
          <w:szCs w:val="20"/>
          <w:lang w:eastAsia="it-IT"/>
        </w:rPr>
        <w:t>alutati</w:t>
      </w:r>
      <w:r w:rsidR="00A1141A">
        <w:rPr>
          <w:rFonts w:asciiTheme="majorHAnsi" w:eastAsia="Times New Roman" w:hAnsiTheme="majorHAnsi" w:cstheme="majorHAnsi"/>
          <w:sz w:val="20"/>
          <w:szCs w:val="20"/>
          <w:lang w:eastAsia="it-IT"/>
        </w:rPr>
        <w:t>.</w:t>
      </w:r>
    </w:p>
    <w:p w14:paraId="46402EE8" w14:textId="28C45368" w:rsidR="00341715" w:rsidRDefault="000A1C1B" w:rsidP="00727D1A">
      <w:pPr>
        <w:pStyle w:val="Titolo3"/>
      </w:pPr>
      <w:bookmarkStart w:id="30" w:name="_Toc181021961"/>
      <w:r w:rsidRPr="003C1489">
        <w:lastRenderedPageBreak/>
        <w:t>Uso efficiente delle risorse</w:t>
      </w:r>
      <w:bookmarkEnd w:id="30"/>
    </w:p>
    <w:p w14:paraId="42B60FE8" w14:textId="3BA0246A" w:rsidR="00F50F2A" w:rsidRDefault="00F50F2A" w:rsidP="00727D1A">
      <w:pPr>
        <w:pStyle w:val="Titolo4"/>
        <w:spacing w:before="0" w:line="276" w:lineRule="auto"/>
      </w:pPr>
      <w:r w:rsidRPr="003C1489">
        <w:t>Intervento n</w:t>
      </w:r>
      <w:r w:rsidR="007A73A4">
        <w:t>°</w:t>
      </w:r>
      <w:r w:rsidRPr="003C1489">
        <w:t xml:space="preserve"> – </w:t>
      </w:r>
      <w:r w:rsidR="007A73A4">
        <w:t>“</w:t>
      </w:r>
      <w:r w:rsidRPr="003C1489">
        <w:t>Nome intervento</w:t>
      </w:r>
      <w:r w:rsidR="007A73A4">
        <w:t>”</w:t>
      </w:r>
    </w:p>
    <w:p w14:paraId="5D8D1132" w14:textId="4768E92D" w:rsidR="00F50F2A" w:rsidRDefault="00F50F2A" w:rsidP="00727D1A">
      <w:pPr>
        <w:spacing w:after="120" w:line="276" w:lineRule="auto"/>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Per ogni singolo intervento, replicare e compilare i paragrafi con il relativo contenuto:</w:t>
      </w:r>
      <w:r w:rsidRPr="003C1489">
        <w:rPr>
          <w:rFonts w:asciiTheme="majorHAnsi" w:eastAsia="Times New Roman" w:hAnsiTheme="majorHAnsi" w:cstheme="majorHAnsi"/>
          <w:b/>
          <w:bCs/>
          <w:sz w:val="20"/>
          <w:szCs w:val="20"/>
          <w:lang w:eastAsia="it-IT"/>
        </w:rPr>
        <w:t xml:space="preserve"> Intervento n – Nome intervento, Descrizione, Quantificazione </w:t>
      </w:r>
      <w:r w:rsidR="00DC1C7C" w:rsidRPr="003C1489">
        <w:rPr>
          <w:rFonts w:asciiTheme="majorHAnsi" w:eastAsia="Times New Roman" w:hAnsiTheme="majorHAnsi" w:cstheme="majorHAnsi"/>
          <w:b/>
          <w:bCs/>
          <w:sz w:val="20"/>
          <w:szCs w:val="20"/>
          <w:lang w:eastAsia="it-IT"/>
        </w:rPr>
        <w:t>obiettivi</w:t>
      </w:r>
      <w:r w:rsidRPr="003C1489">
        <w:rPr>
          <w:rFonts w:asciiTheme="majorHAnsi" w:eastAsia="Times New Roman" w:hAnsiTheme="majorHAnsi" w:cstheme="majorHAnsi"/>
          <w:b/>
          <w:bCs/>
          <w:sz w:val="20"/>
          <w:szCs w:val="20"/>
          <w:lang w:eastAsia="it-IT"/>
        </w:rPr>
        <w:t xml:space="preserve"> ambientali, Spese di investimento, Quadro analitico delle spese, Ipotesi di scenario controfattuale.</w:t>
      </w:r>
    </w:p>
    <w:p w14:paraId="60E93BEB" w14:textId="5057E4FB" w:rsidR="000A1C1B" w:rsidRDefault="000A1C1B" w:rsidP="00727D1A">
      <w:pPr>
        <w:pStyle w:val="Titolo4"/>
        <w:spacing w:before="0" w:line="276" w:lineRule="auto"/>
      </w:pPr>
      <w:r w:rsidRPr="00CA43B9">
        <w:t>Descrizione</w:t>
      </w:r>
    </w:p>
    <w:p w14:paraId="12D6F1C7" w14:textId="344727EA" w:rsidR="00343B3A" w:rsidRPr="003C1489" w:rsidRDefault="003839FD" w:rsidP="00727D1A">
      <w:pPr>
        <w:spacing w:after="120" w:line="276" w:lineRule="auto"/>
        <w:jc w:val="both"/>
        <w:rPr>
          <w:rFonts w:asciiTheme="majorHAnsi" w:hAnsiTheme="majorHAnsi" w:cstheme="majorHAnsi"/>
          <w:sz w:val="20"/>
          <w:szCs w:val="20"/>
        </w:rPr>
      </w:pPr>
      <w:r w:rsidRPr="003C1489">
        <w:rPr>
          <w:rFonts w:asciiTheme="majorHAnsi" w:hAnsiTheme="majorHAnsi" w:cstheme="majorHAnsi"/>
          <w:sz w:val="20"/>
          <w:szCs w:val="20"/>
        </w:rPr>
        <w:t>Fornire elementi</w:t>
      </w:r>
      <w:r w:rsidR="00343B3A" w:rsidRPr="003C1489">
        <w:rPr>
          <w:rFonts w:asciiTheme="majorHAnsi" w:hAnsiTheme="majorHAnsi" w:cstheme="majorHAnsi"/>
          <w:sz w:val="20"/>
          <w:szCs w:val="20"/>
        </w:rPr>
        <w:t xml:space="preserve"> e</w:t>
      </w:r>
      <w:r w:rsidR="007A73A4">
        <w:rPr>
          <w:rFonts w:asciiTheme="majorHAnsi" w:hAnsiTheme="majorHAnsi" w:cstheme="majorHAnsi"/>
          <w:sz w:val="20"/>
          <w:szCs w:val="20"/>
        </w:rPr>
        <w:t xml:space="preserve"> idonea</w:t>
      </w:r>
      <w:r w:rsidR="00343B3A" w:rsidRPr="003C1489">
        <w:rPr>
          <w:rFonts w:asciiTheme="majorHAnsi" w:hAnsiTheme="majorHAnsi" w:cstheme="majorHAnsi"/>
          <w:sz w:val="20"/>
          <w:szCs w:val="20"/>
        </w:rPr>
        <w:t xml:space="preserve"> documentazione,</w:t>
      </w:r>
      <w:r w:rsidRPr="003C1489">
        <w:rPr>
          <w:rFonts w:asciiTheme="majorHAnsi" w:hAnsiTheme="majorHAnsi" w:cstheme="majorHAnsi"/>
          <w:sz w:val="20"/>
          <w:szCs w:val="20"/>
        </w:rPr>
        <w:t xml:space="preserve"> per comprovare che ogni intervento finalizzato all’uso efficiente delle risorse e/o la circolarità del processo produttivo non riguardi</w:t>
      </w:r>
      <w:r w:rsidR="00343B3A" w:rsidRPr="003C1489">
        <w:rPr>
          <w:rFonts w:asciiTheme="majorHAnsi" w:hAnsiTheme="majorHAnsi" w:cstheme="majorHAnsi"/>
          <w:sz w:val="20"/>
          <w:szCs w:val="20"/>
        </w:rPr>
        <w:t>:</w:t>
      </w:r>
    </w:p>
    <w:p w14:paraId="47A23313" w14:textId="77777777" w:rsidR="00343B3A" w:rsidRPr="003C1489" w:rsidRDefault="00343B3A"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lo smaltimento dei rifiuti e le operazioni di recupero dei rifiuti per la produzione di energia;</w:t>
      </w:r>
    </w:p>
    <w:p w14:paraId="406B2D52" w14:textId="2E49AEFD" w:rsidR="00343B3A" w:rsidRPr="003C1489" w:rsidRDefault="00343B3A"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l’incentivazione della produzione di rifiuti o l’aumento dell’uso di risorse;</w:t>
      </w:r>
    </w:p>
    <w:p w14:paraId="1592EE22" w14:textId="23BAFAA6" w:rsidR="003839FD" w:rsidRPr="003C1489" w:rsidRDefault="003839FD"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F80046">
        <w:rPr>
          <w:rFonts w:asciiTheme="majorHAnsi" w:hAnsiTheme="majorHAnsi" w:cstheme="majorHAnsi"/>
          <w:sz w:val="20"/>
          <w:szCs w:val="20"/>
        </w:rPr>
        <w:t>l’implementazione di tecnologie che costituiscono una pratica commerciale consolidata già redditizia, come richiesto dall’art. 1</w:t>
      </w:r>
      <w:r w:rsidR="00F80046" w:rsidRPr="00F80046">
        <w:rPr>
          <w:rFonts w:asciiTheme="majorHAnsi" w:hAnsiTheme="majorHAnsi" w:cstheme="majorHAnsi"/>
          <w:sz w:val="20"/>
          <w:szCs w:val="20"/>
        </w:rPr>
        <w:t>3</w:t>
      </w:r>
      <w:r w:rsidRPr="00F80046">
        <w:rPr>
          <w:rFonts w:asciiTheme="majorHAnsi" w:hAnsiTheme="majorHAnsi" w:cstheme="majorHAnsi"/>
          <w:sz w:val="20"/>
          <w:szCs w:val="20"/>
        </w:rPr>
        <w:t xml:space="preserve"> comma </w:t>
      </w:r>
      <w:r w:rsidR="00F80046" w:rsidRPr="00F80046">
        <w:rPr>
          <w:rFonts w:asciiTheme="majorHAnsi" w:hAnsiTheme="majorHAnsi" w:cstheme="majorHAnsi"/>
          <w:sz w:val="20"/>
          <w:szCs w:val="20"/>
        </w:rPr>
        <w:t>5</w:t>
      </w:r>
      <w:r w:rsidRPr="00F80046">
        <w:rPr>
          <w:rFonts w:asciiTheme="majorHAnsi" w:hAnsiTheme="majorHAnsi" w:cstheme="majorHAnsi"/>
          <w:sz w:val="20"/>
          <w:szCs w:val="20"/>
        </w:rPr>
        <w:t xml:space="preserve"> del </w:t>
      </w:r>
      <w:r w:rsidR="00B66B67" w:rsidRPr="00125134">
        <w:rPr>
          <w:rFonts w:asciiTheme="majorHAnsi" w:eastAsia="Times New Roman" w:hAnsiTheme="majorHAnsi" w:cstheme="majorHAnsi"/>
          <w:sz w:val="20"/>
          <w:szCs w:val="20"/>
          <w:lang w:eastAsia="it-IT"/>
        </w:rPr>
        <w:t>DD</w:t>
      </w:r>
      <w:r w:rsidR="00B66B67">
        <w:rPr>
          <w:rFonts w:asciiTheme="majorHAnsi" w:eastAsia="Times New Roman" w:hAnsiTheme="majorHAnsi" w:cstheme="majorHAnsi"/>
          <w:sz w:val="20"/>
          <w:szCs w:val="20"/>
          <w:lang w:eastAsia="it-IT"/>
        </w:rPr>
        <w:t xml:space="preserve"> 23 dicembre 2024</w:t>
      </w:r>
      <w:r w:rsidRPr="00F80046">
        <w:rPr>
          <w:rFonts w:asciiTheme="majorHAnsi" w:hAnsiTheme="majorHAnsi" w:cstheme="majorHAnsi"/>
          <w:sz w:val="20"/>
          <w:szCs w:val="20"/>
        </w:rPr>
        <w:t>. Per</w:t>
      </w:r>
      <w:r w:rsidRPr="003C1489">
        <w:rPr>
          <w:rFonts w:asciiTheme="majorHAnsi" w:hAnsiTheme="majorHAnsi" w:cstheme="majorHAnsi"/>
          <w:sz w:val="20"/>
          <w:szCs w:val="20"/>
        </w:rPr>
        <w:t xml:space="preserve"> ogni intervento proposto deve essere dimostrato il possesso di almeno uno dei seguenti requisiti: </w:t>
      </w:r>
    </w:p>
    <w:p w14:paraId="40C65682" w14:textId="6EA44D26" w:rsidR="003839FD" w:rsidRPr="003C1489" w:rsidRDefault="003839FD" w:rsidP="00727D1A">
      <w:pPr>
        <w:pStyle w:val="Paragrafoelenco"/>
        <w:numPr>
          <w:ilvl w:val="1"/>
          <w:numId w:val="53"/>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l’intervento non è una pratica commerciale consolidata in ambito comunitario (mediante la presentazione di brevetti, progetti di ricerca effettuati dall’azienda per sviluppare il progetto innovativo, studi di settore, realizzati da soggetti terzi o fondati su documenti di soggetti terzi, volti a dimostrare la bassa penetrazione a livello comunitario degli interventi, e</w:t>
      </w:r>
      <w:r w:rsidR="003D4014">
        <w:rPr>
          <w:rFonts w:asciiTheme="majorHAnsi" w:hAnsiTheme="majorHAnsi" w:cstheme="majorHAnsi"/>
          <w:sz w:val="20"/>
          <w:szCs w:val="20"/>
        </w:rPr>
        <w:t>t</w:t>
      </w:r>
      <w:r w:rsidRPr="003C1489">
        <w:rPr>
          <w:rFonts w:asciiTheme="majorHAnsi" w:hAnsiTheme="majorHAnsi" w:cstheme="majorHAnsi"/>
          <w:sz w:val="20"/>
          <w:szCs w:val="20"/>
        </w:rPr>
        <w:t xml:space="preserve">c.); </w:t>
      </w:r>
    </w:p>
    <w:p w14:paraId="6DA52D21" w14:textId="26823CC9" w:rsidR="00343B3A" w:rsidRPr="003C1489" w:rsidRDefault="003839FD" w:rsidP="00727D1A">
      <w:pPr>
        <w:pStyle w:val="Paragrafoelenco"/>
        <w:numPr>
          <w:ilvl w:val="1"/>
          <w:numId w:val="53"/>
        </w:numPr>
        <w:spacing w:after="120" w:line="276" w:lineRule="auto"/>
        <w:contextualSpacing w:val="0"/>
        <w:jc w:val="both"/>
        <w:rPr>
          <w:rFonts w:asciiTheme="majorHAnsi" w:hAnsiTheme="majorHAnsi" w:cstheme="majorHAnsi"/>
          <w:b/>
          <w:bCs/>
          <w:sz w:val="20"/>
          <w:szCs w:val="20"/>
        </w:rPr>
      </w:pPr>
      <w:r w:rsidRPr="003C1489">
        <w:rPr>
          <w:rFonts w:asciiTheme="majorHAnsi" w:hAnsiTheme="majorHAnsi" w:cstheme="majorHAnsi"/>
          <w:sz w:val="20"/>
          <w:szCs w:val="20"/>
        </w:rPr>
        <w:t>l’intervento non è una pratica commerciale già redditizia in assenza di aiuti (mediante la valutazione del tempo di ritorno dell’investimento associato a ciascun intervento oppure mediante analisi di mercato volte a chiarire che l’intervento non è considerabile come già redditizio).</w:t>
      </w:r>
    </w:p>
    <w:p w14:paraId="49249467" w14:textId="37C4197D" w:rsidR="000A1C1B" w:rsidRDefault="000A1C1B" w:rsidP="00727D1A">
      <w:pPr>
        <w:pStyle w:val="Titolo4"/>
        <w:spacing w:before="0" w:line="276" w:lineRule="auto"/>
      </w:pPr>
      <w:r>
        <w:t xml:space="preserve">Quantificazione </w:t>
      </w:r>
      <w:r w:rsidR="00DC1C7C">
        <w:t>obiettivi</w:t>
      </w:r>
      <w:r>
        <w:t xml:space="preserve"> ambientali</w:t>
      </w:r>
    </w:p>
    <w:p w14:paraId="4CAEE206" w14:textId="52CCFE18" w:rsidR="00F94FD0" w:rsidRPr="00725991" w:rsidRDefault="00F94FD0" w:rsidP="00727D1A">
      <w:pPr>
        <w:spacing w:after="120" w:line="276" w:lineRule="auto"/>
        <w:jc w:val="both"/>
        <w:rPr>
          <w:rFonts w:asciiTheme="majorHAnsi" w:hAnsiTheme="majorHAnsi" w:cstheme="majorHAnsi"/>
          <w:sz w:val="20"/>
          <w:szCs w:val="20"/>
        </w:rPr>
      </w:pPr>
      <w:r w:rsidRPr="003C1489">
        <w:rPr>
          <w:rFonts w:asciiTheme="majorHAnsi" w:hAnsiTheme="majorHAnsi" w:cstheme="majorHAnsi"/>
          <w:sz w:val="20"/>
          <w:szCs w:val="20"/>
        </w:rPr>
        <w:t xml:space="preserve">La quantificazione dei </w:t>
      </w:r>
      <w:r w:rsidRPr="003C1489">
        <w:rPr>
          <w:rFonts w:asciiTheme="majorHAnsi" w:eastAsia="Times New Roman" w:hAnsiTheme="majorHAnsi" w:cstheme="majorHAnsi"/>
          <w:sz w:val="20"/>
          <w:szCs w:val="20"/>
          <w:lang w:eastAsia="it-IT"/>
        </w:rPr>
        <w:t>risparmi</w:t>
      </w:r>
      <w:r w:rsidRPr="003C1489">
        <w:rPr>
          <w:rFonts w:asciiTheme="majorHAnsi" w:hAnsiTheme="majorHAnsi" w:cstheme="majorHAnsi"/>
          <w:sz w:val="20"/>
          <w:szCs w:val="20"/>
        </w:rPr>
        <w:t xml:space="preserve"> deve essere </w:t>
      </w:r>
      <w:r w:rsidR="003C1489" w:rsidRPr="003C1489">
        <w:rPr>
          <w:rFonts w:asciiTheme="majorHAnsi" w:hAnsiTheme="majorHAnsi" w:cstheme="majorHAnsi"/>
          <w:sz w:val="20"/>
          <w:szCs w:val="20"/>
        </w:rPr>
        <w:t>e</w:t>
      </w:r>
      <w:r w:rsidRPr="003C1489">
        <w:rPr>
          <w:rFonts w:asciiTheme="majorHAnsi" w:hAnsiTheme="majorHAnsi" w:cstheme="majorHAnsi"/>
          <w:sz w:val="20"/>
          <w:szCs w:val="20"/>
        </w:rPr>
        <w:t xml:space="preserve">seguita assumendo </w:t>
      </w:r>
      <w:r w:rsidR="003C1489" w:rsidRPr="003C1489">
        <w:rPr>
          <w:rFonts w:asciiTheme="majorHAnsi" w:hAnsiTheme="majorHAnsi" w:cstheme="majorHAnsi"/>
          <w:sz w:val="20"/>
          <w:szCs w:val="20"/>
        </w:rPr>
        <w:t>come riferimento l’intera unità produttiva.</w:t>
      </w:r>
      <w:r>
        <w:rPr>
          <w:rFonts w:asciiTheme="majorHAnsi" w:hAnsiTheme="majorHAnsi" w:cstheme="majorHAnsi"/>
          <w:sz w:val="20"/>
          <w:szCs w:val="20"/>
        </w:rPr>
        <w:t xml:space="preserve"> </w:t>
      </w:r>
    </w:p>
    <w:p w14:paraId="0999B172" w14:textId="77777777" w:rsidR="007A73A4" w:rsidRDefault="009F681C" w:rsidP="00727D1A">
      <w:pPr>
        <w:spacing w:after="120" w:line="276" w:lineRule="auto"/>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Si chiede di specificare e dettagliare</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sia a livello quantitativo che qualitativo</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gli eventuali impatti negativi degli interventi proposti</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quali ad esempio un maggior consumo energetico, un maggior consumo di materie prime o un maggior conferimento in discarica di rifiuti rispetto alla situazione ex-ante</w:t>
      </w:r>
      <w:r w:rsidR="007A73A4">
        <w:rPr>
          <w:rFonts w:asciiTheme="majorHAnsi" w:eastAsia="Times New Roman" w:hAnsiTheme="majorHAnsi" w:cstheme="majorHAnsi"/>
          <w:sz w:val="20"/>
          <w:szCs w:val="20"/>
          <w:lang w:eastAsia="it-IT"/>
        </w:rPr>
        <w:t>.</w:t>
      </w:r>
    </w:p>
    <w:p w14:paraId="30EB1E01" w14:textId="3F89193B" w:rsidR="009F681C" w:rsidRDefault="00A90CBB" w:rsidP="00727D1A">
      <w:pPr>
        <w:spacing w:after="120" w:line="276" w:lineRule="auto"/>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7A73A4">
        <w:rPr>
          <w:rFonts w:asciiTheme="majorHAnsi" w:eastAsia="Times New Roman" w:hAnsiTheme="majorHAnsi" w:cstheme="majorHAnsi"/>
          <w:sz w:val="20"/>
          <w:szCs w:val="20"/>
          <w:lang w:eastAsia="it-IT"/>
        </w:rPr>
        <w:t>:</w:t>
      </w:r>
      <w:r w:rsidR="009F681C" w:rsidRPr="003C1489">
        <w:rPr>
          <w:rFonts w:asciiTheme="majorHAnsi" w:eastAsia="Times New Roman" w:hAnsiTheme="majorHAnsi" w:cstheme="majorHAnsi"/>
          <w:sz w:val="20"/>
          <w:szCs w:val="20"/>
          <w:lang w:eastAsia="it-IT"/>
        </w:rPr>
        <w:t xml:space="preserve"> un intervento di circolarità delle risorse che prevede di trasformare un ciclo delle acque, da aperto a chiuso, verosimilmente comporterà un aumento dei consumi elettrici, rispetto alla situazione ex ante, a causa delle pompe installate per la realizzazione dell’intervento</w:t>
      </w:r>
      <w:r w:rsidR="00A14957" w:rsidRPr="003C1489">
        <w:rPr>
          <w:rFonts w:asciiTheme="majorHAnsi" w:eastAsia="Times New Roman" w:hAnsiTheme="majorHAnsi" w:cstheme="majorHAnsi"/>
          <w:sz w:val="20"/>
          <w:szCs w:val="20"/>
          <w:lang w:eastAsia="it-IT"/>
        </w:rPr>
        <w:t>. In tal caso, la variazione positiva dei consumi elettrici, rispetto alla situazione ex ante, deve essere considerata nel calcolo del risparmio).</w:t>
      </w:r>
    </w:p>
    <w:p w14:paraId="2AB2992B" w14:textId="77777777" w:rsidR="007A73A4" w:rsidRDefault="007A73A4" w:rsidP="00727D1A">
      <w:pPr>
        <w:spacing w:after="120" w:line="276" w:lineRule="auto"/>
        <w:jc w:val="both"/>
        <w:rPr>
          <w:rFonts w:asciiTheme="majorHAnsi" w:eastAsia="Times New Roman" w:hAnsiTheme="majorHAnsi" w:cstheme="majorHAnsi"/>
          <w:sz w:val="20"/>
          <w:szCs w:val="20"/>
          <w:lang w:eastAsia="it-IT"/>
        </w:rPr>
      </w:pPr>
    </w:p>
    <w:p w14:paraId="11677077" w14:textId="77777777" w:rsidR="007A73A4" w:rsidRDefault="009F681C" w:rsidP="00727D1A">
      <w:pPr>
        <w:spacing w:after="120" w:line="276" w:lineRule="auto"/>
        <w:jc w:val="both"/>
        <w:rPr>
          <w:rFonts w:asciiTheme="majorHAnsi" w:eastAsia="Times New Roman" w:hAnsiTheme="majorHAnsi" w:cstheme="majorHAnsi"/>
          <w:sz w:val="20"/>
          <w:szCs w:val="20"/>
          <w:lang w:eastAsia="it-IT"/>
        </w:rPr>
      </w:pPr>
      <w:r w:rsidRPr="0084699C">
        <w:rPr>
          <w:rFonts w:asciiTheme="majorHAnsi" w:eastAsia="Times New Roman" w:hAnsiTheme="majorHAnsi" w:cstheme="majorHAnsi"/>
          <w:sz w:val="20"/>
          <w:szCs w:val="20"/>
          <w:lang w:eastAsia="it-IT"/>
        </w:rPr>
        <w:t>Si chiede di specificare e dettagliare</w:t>
      </w:r>
      <w:r w:rsidR="003D4014">
        <w:rPr>
          <w:rFonts w:asciiTheme="majorHAnsi" w:eastAsia="Times New Roman" w:hAnsiTheme="majorHAnsi" w:cstheme="majorHAnsi"/>
          <w:sz w:val="20"/>
          <w:szCs w:val="20"/>
          <w:lang w:eastAsia="it-IT"/>
        </w:rPr>
        <w:t>,</w:t>
      </w:r>
      <w:r w:rsidRPr="0084699C">
        <w:rPr>
          <w:rFonts w:asciiTheme="majorHAnsi" w:eastAsia="Times New Roman" w:hAnsiTheme="majorHAnsi" w:cstheme="majorHAnsi"/>
          <w:sz w:val="20"/>
          <w:szCs w:val="20"/>
          <w:lang w:eastAsia="it-IT"/>
        </w:rPr>
        <w:t xml:space="preserve"> sia a livello quantitativo che qualitativo</w:t>
      </w:r>
      <w:r w:rsidR="003D4014">
        <w:rPr>
          <w:rFonts w:asciiTheme="majorHAnsi" w:eastAsia="Times New Roman" w:hAnsiTheme="majorHAnsi" w:cstheme="majorHAnsi"/>
          <w:sz w:val="20"/>
          <w:szCs w:val="20"/>
          <w:lang w:eastAsia="it-IT"/>
        </w:rPr>
        <w:t>,</w:t>
      </w:r>
      <w:r w:rsidRPr="0084699C">
        <w:rPr>
          <w:rFonts w:asciiTheme="majorHAnsi" w:eastAsia="Times New Roman" w:hAnsiTheme="majorHAnsi" w:cstheme="majorHAnsi"/>
          <w:sz w:val="20"/>
          <w:szCs w:val="20"/>
          <w:lang w:eastAsia="it-IT"/>
        </w:rPr>
        <w:t xml:space="preserve"> gli eventuali effetti interattivi derivanti dai diversi interventi proposti</w:t>
      </w:r>
      <w:r w:rsidR="007A73A4">
        <w:rPr>
          <w:rFonts w:asciiTheme="majorHAnsi" w:eastAsia="Times New Roman" w:hAnsiTheme="majorHAnsi" w:cstheme="majorHAnsi"/>
          <w:sz w:val="20"/>
          <w:szCs w:val="20"/>
          <w:lang w:eastAsia="it-IT"/>
        </w:rPr>
        <w:t>.</w:t>
      </w:r>
    </w:p>
    <w:p w14:paraId="5A8574A0" w14:textId="178F6FD2" w:rsidR="00E75D52" w:rsidRPr="0084699C" w:rsidRDefault="00A90CBB" w:rsidP="00727D1A">
      <w:pPr>
        <w:spacing w:after="120" w:line="276" w:lineRule="auto"/>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7A73A4">
        <w:rPr>
          <w:rFonts w:asciiTheme="majorHAnsi" w:eastAsia="Times New Roman" w:hAnsiTheme="majorHAnsi" w:cstheme="majorHAnsi"/>
          <w:sz w:val="20"/>
          <w:szCs w:val="20"/>
          <w:lang w:eastAsia="it-IT"/>
        </w:rPr>
        <w:t>:</w:t>
      </w:r>
      <w:r w:rsidR="009F681C" w:rsidRPr="0084699C">
        <w:rPr>
          <w:rFonts w:asciiTheme="majorHAnsi" w:eastAsia="Times New Roman" w:hAnsiTheme="majorHAnsi" w:cstheme="majorHAnsi"/>
          <w:sz w:val="20"/>
          <w:szCs w:val="20"/>
          <w:lang w:eastAsia="it-IT"/>
        </w:rPr>
        <w:t xml:space="preserve"> </w:t>
      </w:r>
      <w:r w:rsidR="00E75D52" w:rsidRPr="0084699C">
        <w:rPr>
          <w:rFonts w:asciiTheme="majorHAnsi" w:eastAsia="Times New Roman" w:hAnsiTheme="majorHAnsi" w:cstheme="majorHAnsi"/>
          <w:sz w:val="20"/>
          <w:szCs w:val="20"/>
          <w:lang w:eastAsia="it-IT"/>
        </w:rPr>
        <w:t xml:space="preserve">un'azienda utilizza materie prime per il suo processo e, come output, ha anche dei rifiuti (pari al 5% del materiale in ingresso). L'azienda realizza due interventi: </w:t>
      </w:r>
    </w:p>
    <w:p w14:paraId="730D07F9" w14:textId="77777777" w:rsidR="007A73A4" w:rsidRDefault="00E75D52" w:rsidP="00727D1A">
      <w:pPr>
        <w:pStyle w:val="Paragrafoelenco"/>
        <w:numPr>
          <w:ilvl w:val="0"/>
          <w:numId w:val="68"/>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sostituzione di un macchinario che riduce le quantità di materie prime necessarie a parità di prodotto del 10%</w:t>
      </w:r>
      <w:r w:rsidR="003C1489" w:rsidRPr="007A73A4">
        <w:rPr>
          <w:rFonts w:asciiTheme="majorHAnsi" w:eastAsia="Times New Roman" w:hAnsiTheme="majorHAnsi" w:cstheme="majorHAnsi"/>
          <w:sz w:val="20"/>
          <w:szCs w:val="20"/>
          <w:lang w:eastAsia="it-IT"/>
        </w:rPr>
        <w:t>;</w:t>
      </w:r>
    </w:p>
    <w:p w14:paraId="5774DF4B" w14:textId="523C6C21" w:rsidR="00E75D52" w:rsidRPr="007A73A4" w:rsidRDefault="00E75D52" w:rsidP="00727D1A">
      <w:pPr>
        <w:pStyle w:val="Paragrafoelenco"/>
        <w:numPr>
          <w:ilvl w:val="0"/>
          <w:numId w:val="68"/>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installazione di una nuova macchina che permette di recuperare i rifiuti prodotti, trasformandoli in materie seconde riutilizzabili nel processo.</w:t>
      </w:r>
    </w:p>
    <w:p w14:paraId="1D9715F2" w14:textId="72797144" w:rsidR="005B4205" w:rsidRPr="00727D1A" w:rsidRDefault="00E75D52" w:rsidP="00727D1A">
      <w:pPr>
        <w:spacing w:after="120" w:line="276" w:lineRule="auto"/>
        <w:jc w:val="both"/>
        <w:rPr>
          <w:rFonts w:asciiTheme="majorHAnsi" w:eastAsia="Times New Roman" w:hAnsiTheme="majorHAnsi" w:cstheme="majorHAnsi"/>
          <w:sz w:val="20"/>
          <w:szCs w:val="20"/>
          <w:lang w:eastAsia="it-IT"/>
        </w:rPr>
      </w:pPr>
      <w:r w:rsidRPr="0084699C">
        <w:rPr>
          <w:rFonts w:asciiTheme="majorHAnsi" w:eastAsia="Times New Roman" w:hAnsiTheme="majorHAnsi" w:cstheme="majorHAnsi"/>
          <w:sz w:val="20"/>
          <w:szCs w:val="20"/>
          <w:lang w:eastAsia="it-IT"/>
        </w:rPr>
        <w:t>In tal caso bisogna considerare i risparmi stimati dal secondo intervento sulla base del valore di materie prime stimato derivante dalla realizzazione dell'intervento 1)</w:t>
      </w:r>
      <w:r w:rsidR="003C1489" w:rsidRPr="0084699C">
        <w:rPr>
          <w:rFonts w:asciiTheme="majorHAnsi" w:eastAsia="Times New Roman" w:hAnsiTheme="majorHAnsi" w:cstheme="majorHAnsi"/>
          <w:sz w:val="20"/>
          <w:szCs w:val="20"/>
          <w:lang w:eastAsia="it-IT"/>
        </w:rPr>
        <w:t>.</w:t>
      </w:r>
    </w:p>
    <w:p w14:paraId="186C04C7" w14:textId="45E24CE1" w:rsidR="000A1C1B" w:rsidRDefault="000A1C1B" w:rsidP="00727D1A">
      <w:pPr>
        <w:pStyle w:val="Titolo4"/>
        <w:spacing w:before="0" w:line="276" w:lineRule="auto"/>
      </w:pPr>
      <w:r>
        <w:t>Spese di investimento</w:t>
      </w:r>
    </w:p>
    <w:p w14:paraId="5EE496A6" w14:textId="080D7C19" w:rsidR="00F50F2A" w:rsidRPr="003C1489" w:rsidRDefault="00F50F2A" w:rsidP="00727D1A">
      <w:pPr>
        <w:spacing w:after="120" w:line="276" w:lineRule="auto"/>
        <w:jc w:val="both"/>
        <w:rPr>
          <w:rFonts w:asciiTheme="majorHAnsi" w:eastAsia="Times New Roman" w:hAnsiTheme="majorHAnsi" w:cstheme="majorHAnsi"/>
          <w:sz w:val="20"/>
          <w:szCs w:val="20"/>
          <w:lang w:eastAsia="it-IT"/>
        </w:rPr>
      </w:pPr>
      <w:bookmarkStart w:id="31" w:name="_Hlk180069820"/>
      <w:r w:rsidRPr="003C1489">
        <w:rPr>
          <w:rFonts w:asciiTheme="majorHAnsi" w:eastAsia="Times New Roman" w:hAnsiTheme="majorHAnsi" w:cstheme="majorHAnsi"/>
          <w:sz w:val="20"/>
          <w:szCs w:val="20"/>
          <w:lang w:eastAsia="it-IT"/>
        </w:rPr>
        <w:t xml:space="preserve">Come previsto dal </w:t>
      </w:r>
      <w:r w:rsidR="001A31A0" w:rsidRPr="00125134">
        <w:rPr>
          <w:rFonts w:asciiTheme="majorHAnsi" w:eastAsia="Times New Roman" w:hAnsiTheme="majorHAnsi" w:cstheme="majorHAnsi"/>
          <w:sz w:val="20"/>
          <w:szCs w:val="20"/>
          <w:lang w:eastAsia="it-IT"/>
        </w:rPr>
        <w:t>DD</w:t>
      </w:r>
      <w:r w:rsidR="001A31A0">
        <w:rPr>
          <w:rFonts w:asciiTheme="majorHAnsi" w:eastAsia="Times New Roman" w:hAnsiTheme="majorHAnsi" w:cstheme="majorHAnsi"/>
          <w:sz w:val="20"/>
          <w:szCs w:val="20"/>
          <w:lang w:eastAsia="it-IT"/>
        </w:rPr>
        <w:t xml:space="preserve"> 23 dicembre 2024</w:t>
      </w:r>
      <w:r w:rsidRPr="003C1489">
        <w:rPr>
          <w:rFonts w:asciiTheme="majorHAnsi" w:eastAsia="Times New Roman" w:hAnsiTheme="majorHAnsi" w:cstheme="majorHAnsi"/>
          <w:sz w:val="20"/>
          <w:szCs w:val="20"/>
          <w:lang w:eastAsia="it-IT"/>
        </w:rPr>
        <w:t>, si ricorda che:</w:t>
      </w:r>
    </w:p>
    <w:p w14:paraId="02744AE1" w14:textId="77777777" w:rsidR="00F50F2A" w:rsidRPr="003C1489" w:rsidRDefault="00F50F2A" w:rsidP="00727D1A">
      <w:pPr>
        <w:pStyle w:val="Paragrafoelenco"/>
        <w:numPr>
          <w:ilvl w:val="0"/>
          <w:numId w:val="47"/>
        </w:numPr>
        <w:spacing w:after="120" w:line="276" w:lineRule="auto"/>
        <w:ind w:left="714" w:hanging="357"/>
        <w:contextualSpacing w:val="0"/>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lastRenderedPageBreak/>
        <w:t>le spese per “</w:t>
      </w:r>
      <w:r w:rsidRPr="0084699C">
        <w:rPr>
          <w:rFonts w:asciiTheme="majorHAnsi" w:eastAsia="Times New Roman" w:hAnsiTheme="majorHAnsi" w:cstheme="majorHAnsi"/>
          <w:color w:val="000000"/>
          <w:sz w:val="20"/>
          <w:szCs w:val="20"/>
          <w:lang w:eastAsia="it-IT"/>
        </w:rPr>
        <w:t>Suolo aziendale e sue sistemazioni</w:t>
      </w:r>
      <w:r w:rsidRPr="003C1489">
        <w:rPr>
          <w:rFonts w:asciiTheme="majorHAnsi" w:eastAsia="Times New Roman" w:hAnsiTheme="majorHAnsi" w:cstheme="majorHAnsi"/>
          <w:color w:val="000000"/>
          <w:sz w:val="20"/>
          <w:szCs w:val="20"/>
          <w:lang w:eastAsia="it-IT"/>
        </w:rPr>
        <w:t>” non possono eccedere il 10% delle spese totali dell’intero programma di investimento;</w:t>
      </w:r>
    </w:p>
    <w:p w14:paraId="1DE9E109" w14:textId="77777777" w:rsidR="007A73A4" w:rsidRPr="007A73A4" w:rsidRDefault="00F50F2A" w:rsidP="00727D1A">
      <w:pPr>
        <w:pStyle w:val="Paragrafoelenco"/>
        <w:numPr>
          <w:ilvl w:val="0"/>
          <w:numId w:val="47"/>
        </w:numPr>
        <w:spacing w:after="120" w:line="276" w:lineRule="auto"/>
        <w:contextualSpacing w:val="0"/>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le spese per “</w:t>
      </w:r>
      <w:r w:rsidRPr="0084699C">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r w:rsidRPr="003C1489">
        <w:rPr>
          <w:rFonts w:asciiTheme="majorHAnsi" w:eastAsia="Times New Roman" w:hAnsiTheme="majorHAnsi" w:cstheme="majorHAnsi"/>
          <w:color w:val="000000"/>
          <w:sz w:val="20"/>
          <w:szCs w:val="20"/>
          <w:lang w:eastAsia="it-IT"/>
        </w:rPr>
        <w:t>” non possono eccedere il 40% delle spese totali dell’intero programma di investimento</w:t>
      </w:r>
      <w:bookmarkEnd w:id="31"/>
      <w:r w:rsidR="007A73A4">
        <w:rPr>
          <w:rFonts w:asciiTheme="majorHAnsi" w:eastAsia="Times New Roman" w:hAnsiTheme="majorHAnsi" w:cstheme="majorHAnsi"/>
          <w:color w:val="000000"/>
          <w:sz w:val="20"/>
          <w:szCs w:val="20"/>
          <w:lang w:eastAsia="it-IT"/>
        </w:rPr>
        <w:t>;</w:t>
      </w:r>
    </w:p>
    <w:p w14:paraId="4E4D3791" w14:textId="476D3B30" w:rsidR="00DA1F62" w:rsidRPr="007A73A4" w:rsidRDefault="005B4205" w:rsidP="00727D1A">
      <w:pPr>
        <w:pStyle w:val="Paragrafoelenco"/>
        <w:numPr>
          <w:ilvl w:val="0"/>
          <w:numId w:val="47"/>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 xml:space="preserve">le spese associate a </w:t>
      </w:r>
      <w:r w:rsidRPr="007A73A4">
        <w:rPr>
          <w:rFonts w:asciiTheme="majorHAnsi" w:eastAsia="Times New Roman" w:hAnsiTheme="majorHAnsi" w:cstheme="majorHAnsi"/>
          <w:color w:val="000000"/>
          <w:sz w:val="20"/>
          <w:szCs w:val="20"/>
          <w:lang w:eastAsia="it-IT"/>
        </w:rPr>
        <w:t>programmi informatici, brevetti, licenze, know-how</w:t>
      </w:r>
      <w:r w:rsidR="003C1489" w:rsidRPr="007A73A4">
        <w:rPr>
          <w:rFonts w:asciiTheme="majorHAnsi" w:eastAsia="Times New Roman" w:hAnsiTheme="majorHAnsi" w:cstheme="majorHAnsi"/>
          <w:sz w:val="20"/>
          <w:szCs w:val="20"/>
          <w:lang w:eastAsia="it-IT"/>
        </w:rPr>
        <w:t xml:space="preserve"> </w:t>
      </w:r>
      <w:r w:rsidR="00411984" w:rsidRPr="007A73A4">
        <w:rPr>
          <w:rFonts w:asciiTheme="majorHAnsi" w:eastAsia="Times New Roman" w:hAnsiTheme="majorHAnsi" w:cstheme="majorHAnsi"/>
          <w:sz w:val="20"/>
          <w:szCs w:val="20"/>
          <w:lang w:eastAsia="it-IT"/>
        </w:rPr>
        <w:t xml:space="preserve">devono essere </w:t>
      </w:r>
      <w:r w:rsidR="00991731" w:rsidRPr="007A73A4">
        <w:rPr>
          <w:rFonts w:asciiTheme="majorHAnsi" w:eastAsia="Times New Roman" w:hAnsiTheme="majorHAnsi" w:cstheme="majorHAnsi"/>
          <w:color w:val="000000"/>
          <w:sz w:val="20"/>
          <w:szCs w:val="20"/>
          <w:lang w:eastAsia="it-IT"/>
        </w:rPr>
        <w:t>strettamente connessi all’intervento proposto</w:t>
      </w:r>
      <w:r w:rsidR="00991731" w:rsidRPr="007A73A4">
        <w:rPr>
          <w:rFonts w:asciiTheme="majorHAnsi" w:eastAsia="Times New Roman" w:hAnsiTheme="majorHAnsi" w:cstheme="majorHAnsi"/>
          <w:sz w:val="20"/>
          <w:szCs w:val="20"/>
          <w:lang w:eastAsia="it-IT"/>
        </w:rPr>
        <w:t>.</w:t>
      </w:r>
    </w:p>
    <w:p w14:paraId="668FD288" w14:textId="0BD1042F" w:rsidR="000A1C1B" w:rsidRDefault="000A1C1B" w:rsidP="00727D1A">
      <w:pPr>
        <w:pStyle w:val="Titolo4"/>
        <w:spacing w:before="0" w:line="276" w:lineRule="auto"/>
      </w:pPr>
      <w:r>
        <w:t>Ipotesi di scenario controfattuale</w:t>
      </w:r>
    </w:p>
    <w:p w14:paraId="0E6FBC60" w14:textId="1035BDD6" w:rsidR="0064321B" w:rsidRDefault="0064321B" w:rsidP="00727D1A">
      <w:pPr>
        <w:spacing w:after="120" w:line="276" w:lineRule="auto"/>
        <w:jc w:val="both"/>
        <w:rPr>
          <w:rFonts w:asciiTheme="majorHAnsi" w:hAnsiTheme="majorHAnsi" w:cstheme="majorHAnsi"/>
          <w:sz w:val="20"/>
          <w:szCs w:val="20"/>
        </w:rPr>
      </w:pPr>
      <w:r w:rsidRPr="00411984">
        <w:rPr>
          <w:rFonts w:asciiTheme="majorHAnsi" w:hAnsiTheme="majorHAnsi" w:cstheme="majorHAnsi"/>
          <w:sz w:val="20"/>
          <w:szCs w:val="20"/>
        </w:rPr>
        <w:t xml:space="preserve">Fornire una descrizione dello scenario controfattuale individuato contenente le ipotesi fatte e le ricerche effettuate e corredata di opportuni allegati </w:t>
      </w:r>
      <w:r w:rsidR="00510D9B">
        <w:rPr>
          <w:rFonts w:asciiTheme="majorHAnsi" w:hAnsiTheme="majorHAnsi" w:cstheme="majorHAnsi"/>
          <w:sz w:val="20"/>
          <w:szCs w:val="20"/>
        </w:rPr>
        <w:t>di</w:t>
      </w:r>
      <w:r w:rsidRPr="00411984">
        <w:rPr>
          <w:rFonts w:asciiTheme="majorHAnsi" w:hAnsiTheme="majorHAnsi" w:cstheme="majorHAnsi"/>
          <w:sz w:val="20"/>
          <w:szCs w:val="20"/>
        </w:rPr>
        <w:t xml:space="preserve"> supporto.</w:t>
      </w:r>
    </w:p>
    <w:p w14:paraId="749E0B9B" w14:textId="77777777" w:rsidR="007B5DEC" w:rsidRDefault="007B5DEC"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Si specifica che per tali programmi, </w:t>
      </w:r>
      <w:r w:rsidRPr="007B5DEC">
        <w:rPr>
          <w:rFonts w:asciiTheme="majorHAnsi" w:hAnsiTheme="majorHAnsi" w:cstheme="majorHAnsi"/>
          <w:sz w:val="20"/>
          <w:szCs w:val="20"/>
        </w:rPr>
        <w:t>ai fini dell’</w:t>
      </w:r>
      <w:proofErr w:type="spellStart"/>
      <w:r w:rsidRPr="007B5DEC">
        <w:rPr>
          <w:rFonts w:asciiTheme="majorHAnsi" w:hAnsiTheme="majorHAnsi" w:cstheme="majorHAnsi"/>
          <w:sz w:val="20"/>
          <w:szCs w:val="20"/>
        </w:rPr>
        <w:t>agevolabilità</w:t>
      </w:r>
      <w:proofErr w:type="spellEnd"/>
      <w:r w:rsidRPr="007B5DEC">
        <w:rPr>
          <w:rFonts w:asciiTheme="majorHAnsi" w:hAnsiTheme="majorHAnsi" w:cstheme="majorHAnsi"/>
          <w:sz w:val="20"/>
          <w:szCs w:val="20"/>
        </w:rPr>
        <w:t xml:space="preserve"> delle spese devono essere considerati costi agevolabili esclusivamente i costi supplementari necessari per raggiungere l’obiettivo ambientale previsto, determinati confrontando i costi del programma di investimento con quelli di uno scenario controfattuale che tenga conto degli investimenti che verrebbero effettuati in assenza di aiuto e consistente:</w:t>
      </w:r>
    </w:p>
    <w:p w14:paraId="768775CC" w14:textId="77777777" w:rsid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in un investimento comparabile che sarebbe credibilmente realizzato in un processo produttivo nuovo o preesistente senza aiuti e che non raggiunge lo stesso livello di efficienza delle risorse</w:t>
      </w:r>
      <w:r>
        <w:rPr>
          <w:rFonts w:asciiTheme="majorHAnsi" w:hAnsiTheme="majorHAnsi" w:cstheme="majorHAnsi"/>
          <w:sz w:val="20"/>
          <w:szCs w:val="20"/>
        </w:rPr>
        <w:t>;</w:t>
      </w:r>
    </w:p>
    <w:p w14:paraId="0A0F04CF" w14:textId="77777777" w:rsid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in un investimento che preveda un trattamento dei rifiuti in base a un’operazione di trattamento che si colloca più in basso nell’ordine di priorità della gerarchia dei rifiuti di cui all’articolo 4, punto 1, della direttiva 2008/98/CE o nel trattare i rifiuti, altri prodotti, materiali o sostanze in modo meno efficiente sotto il profilo delle risorse;</w:t>
      </w:r>
    </w:p>
    <w:p w14:paraId="5C948BC5" w14:textId="18C649EF" w:rsidR="007B5DEC" w:rsidRP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 xml:space="preserve">in un investimento comparabile in un processo di produzione convenzionale che utilizza materie prime o </w:t>
      </w:r>
      <w:proofErr w:type="spellStart"/>
      <w:r w:rsidRPr="007B5DEC">
        <w:rPr>
          <w:rFonts w:asciiTheme="majorHAnsi" w:hAnsiTheme="majorHAnsi" w:cstheme="majorHAnsi"/>
          <w:sz w:val="20"/>
          <w:szCs w:val="20"/>
        </w:rPr>
        <w:t>feedstock</w:t>
      </w:r>
      <w:proofErr w:type="spellEnd"/>
      <w:r w:rsidRPr="007B5DEC">
        <w:rPr>
          <w:rFonts w:asciiTheme="majorHAnsi" w:hAnsiTheme="majorHAnsi" w:cstheme="majorHAnsi"/>
          <w:sz w:val="20"/>
          <w:szCs w:val="20"/>
        </w:rPr>
        <w:t xml:space="preserve"> primari, se il prodotto secondario ottenuto (riutilizzato o recuperato) è tecnicamente ed economicamente sostituibile con il prodotto primario.</w:t>
      </w:r>
    </w:p>
    <w:p w14:paraId="3A98544B" w14:textId="77777777" w:rsidR="009334E5" w:rsidRDefault="007B5DEC" w:rsidP="00727D1A">
      <w:pPr>
        <w:spacing w:after="120" w:line="276" w:lineRule="auto"/>
        <w:jc w:val="both"/>
        <w:rPr>
          <w:rFonts w:asciiTheme="majorHAnsi" w:hAnsiTheme="majorHAnsi" w:cstheme="majorHAnsi"/>
          <w:sz w:val="20"/>
          <w:szCs w:val="20"/>
        </w:rPr>
      </w:pPr>
      <w:r w:rsidRPr="007B5DEC">
        <w:rPr>
          <w:rFonts w:asciiTheme="majorHAnsi" w:hAnsiTheme="majorHAnsi" w:cstheme="majorHAnsi"/>
          <w:sz w:val="20"/>
          <w:szCs w:val="20"/>
        </w:rPr>
        <w:t xml:space="preserve"> Nei casi di cui </w:t>
      </w:r>
      <w:r>
        <w:rPr>
          <w:rFonts w:asciiTheme="majorHAnsi" w:hAnsiTheme="majorHAnsi" w:cstheme="majorHAnsi"/>
          <w:sz w:val="20"/>
          <w:szCs w:val="20"/>
        </w:rPr>
        <w:t xml:space="preserve">alle </w:t>
      </w:r>
      <w:r w:rsidRPr="007B5DEC">
        <w:rPr>
          <w:rFonts w:asciiTheme="majorHAnsi" w:hAnsiTheme="majorHAnsi" w:cstheme="majorHAnsi"/>
          <w:sz w:val="20"/>
          <w:szCs w:val="20"/>
        </w:rPr>
        <w:t>lettere a) e c), lo scenario controfattuale corrisponde a un investimento con capacità di produzione e durata di vita comparabili, conforme alle norme dell’Unione</w:t>
      </w:r>
      <w:r>
        <w:rPr>
          <w:rFonts w:asciiTheme="majorHAnsi" w:hAnsiTheme="majorHAnsi" w:cstheme="majorHAnsi"/>
          <w:sz w:val="20"/>
          <w:szCs w:val="20"/>
        </w:rPr>
        <w:t xml:space="preserve"> </w:t>
      </w:r>
      <w:r w:rsidRPr="007B5DEC">
        <w:rPr>
          <w:rFonts w:asciiTheme="majorHAnsi" w:hAnsiTheme="majorHAnsi" w:cstheme="majorHAnsi"/>
          <w:sz w:val="20"/>
          <w:szCs w:val="20"/>
        </w:rPr>
        <w:t>già in vigore. Lo scenario controfattuale deve essere credibile alla luce dei requisiti legali, delle</w:t>
      </w:r>
      <w:r>
        <w:rPr>
          <w:rFonts w:asciiTheme="majorHAnsi" w:hAnsiTheme="majorHAnsi" w:cstheme="majorHAnsi"/>
          <w:sz w:val="20"/>
          <w:szCs w:val="20"/>
        </w:rPr>
        <w:t xml:space="preserve"> </w:t>
      </w:r>
      <w:r w:rsidRPr="007B5DEC">
        <w:rPr>
          <w:rFonts w:asciiTheme="majorHAnsi" w:hAnsiTheme="majorHAnsi" w:cstheme="majorHAnsi"/>
          <w:sz w:val="20"/>
          <w:szCs w:val="20"/>
        </w:rPr>
        <w:t>condizioni di mercato e degli incentivi.</w:t>
      </w:r>
    </w:p>
    <w:p w14:paraId="16C421AD" w14:textId="00E69266" w:rsidR="007B5DEC" w:rsidRDefault="007B5DEC" w:rsidP="00727D1A">
      <w:pPr>
        <w:spacing w:after="120" w:line="276" w:lineRule="auto"/>
        <w:jc w:val="both"/>
        <w:rPr>
          <w:rFonts w:asciiTheme="majorHAnsi" w:hAnsiTheme="majorHAnsi" w:cstheme="majorHAnsi"/>
          <w:sz w:val="20"/>
          <w:szCs w:val="20"/>
        </w:rPr>
      </w:pPr>
      <w:r w:rsidRPr="007B5DEC">
        <w:rPr>
          <w:rFonts w:asciiTheme="majorHAnsi" w:hAnsiTheme="majorHAnsi" w:cstheme="majorHAnsi"/>
          <w:sz w:val="20"/>
          <w:szCs w:val="20"/>
        </w:rPr>
        <w:t>Se l’investimento consiste nell’installazione di un componente aggiuntivo a un impianto già esistente, per il quale non esiste un equivalente meno rispettoso dell’ambiente, o se può essere dimostrato che in assenza di aiuti non verrebbe effettuato alcun investimento, i costi ammissibili sono i costi totali dell'investimento.</w:t>
      </w:r>
    </w:p>
    <w:p w14:paraId="216F2C48" w14:textId="42673429" w:rsidR="00125134" w:rsidRPr="00411984" w:rsidRDefault="0012513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Per maggiori dettagli si rimanda a quanto già specificato </w:t>
      </w:r>
      <w:r w:rsidR="00727D1A">
        <w:rPr>
          <w:rFonts w:asciiTheme="majorHAnsi" w:hAnsiTheme="majorHAnsi" w:cstheme="majorHAnsi"/>
          <w:sz w:val="20"/>
          <w:szCs w:val="20"/>
        </w:rPr>
        <w:t>in relazione</w:t>
      </w:r>
      <w:r w:rsidR="00727D1A" w:rsidRPr="00727D1A">
        <w:rPr>
          <w:rFonts w:asciiTheme="majorHAnsi" w:hAnsiTheme="majorHAnsi" w:cstheme="majorHAnsi"/>
          <w:sz w:val="20"/>
          <w:szCs w:val="20"/>
        </w:rPr>
        <w:t xml:space="preserve"> al paragrafo “Ipotesi di scenario controfattuale</w:t>
      </w:r>
      <w:r w:rsidR="00727D1A">
        <w:rPr>
          <w:rFonts w:asciiTheme="majorHAnsi" w:hAnsiTheme="majorHAnsi" w:cstheme="majorHAnsi"/>
          <w:sz w:val="20"/>
          <w:szCs w:val="20"/>
        </w:rPr>
        <w:t xml:space="preserve">” relativamente alla maggiore efficienza energetica. </w:t>
      </w:r>
    </w:p>
    <w:p w14:paraId="6989EA21" w14:textId="3CCE2D85" w:rsidR="00DD1DC0" w:rsidRPr="009E241C" w:rsidRDefault="009E241C" w:rsidP="00727D1A">
      <w:pPr>
        <w:pStyle w:val="Titolo4"/>
        <w:spacing w:before="0" w:line="276" w:lineRule="auto"/>
        <w:rPr>
          <w:b w:val="0"/>
          <w:bCs w:val="0"/>
        </w:rPr>
        <w:sectPr w:rsidR="00DD1DC0" w:rsidRPr="009E241C">
          <w:pgSz w:w="11906" w:h="16838"/>
          <w:pgMar w:top="1417" w:right="1134" w:bottom="1134" w:left="1134" w:header="708" w:footer="708" w:gutter="0"/>
          <w:cols w:space="708"/>
          <w:docGrid w:linePitch="360"/>
        </w:sectPr>
      </w:pPr>
      <w:r w:rsidRPr="009E241C">
        <w:rPr>
          <w:b w:val="0"/>
          <w:bCs w:val="0"/>
        </w:rPr>
        <w:t>Si rammenta che per interventi presentati a valere su</w:t>
      </w:r>
      <w:r>
        <w:rPr>
          <w:b w:val="0"/>
          <w:bCs w:val="0"/>
        </w:rPr>
        <w:t xml:space="preserve">gli </w:t>
      </w:r>
      <w:r w:rsidRPr="009E241C">
        <w:rPr>
          <w:b w:val="0"/>
          <w:bCs w:val="0"/>
        </w:rPr>
        <w:t>artt. 14 e 17 del GBER non è prevista l’individuazione di uno scenario controfattuale.</w:t>
      </w:r>
    </w:p>
    <w:p w14:paraId="516DF635" w14:textId="454D4304" w:rsidR="00C27097" w:rsidRPr="00CA43B9" w:rsidRDefault="009C369E" w:rsidP="0062772D">
      <w:pPr>
        <w:pStyle w:val="Titolo2"/>
        <w:rPr>
          <w:i/>
          <w:iCs/>
        </w:rPr>
      </w:pPr>
      <w:bookmarkStart w:id="32" w:name="_Toc181021968"/>
      <w:bookmarkEnd w:id="1"/>
      <w:r w:rsidRPr="0062772D">
        <w:lastRenderedPageBreak/>
        <w:t>PROGETTI PER LA FORMAZIONE DEL PERSONALE</w:t>
      </w:r>
      <w:bookmarkEnd w:id="32"/>
    </w:p>
    <w:p w14:paraId="18FA15D7" w14:textId="460F237D" w:rsidR="00A109FB" w:rsidRDefault="00A109FB" w:rsidP="00727D1A">
      <w:pPr>
        <w:spacing w:after="120" w:line="276" w:lineRule="auto"/>
        <w:jc w:val="both"/>
        <w:rPr>
          <w:rFonts w:asciiTheme="majorHAnsi" w:hAnsiTheme="majorHAnsi" w:cstheme="majorHAnsi"/>
          <w:bCs/>
          <w:sz w:val="20"/>
          <w:szCs w:val="20"/>
        </w:rPr>
      </w:pPr>
      <w:r w:rsidRPr="00E772D9">
        <w:rPr>
          <w:rFonts w:asciiTheme="majorHAnsi" w:hAnsiTheme="majorHAnsi" w:cstheme="majorHAnsi"/>
          <w:bCs/>
          <w:sz w:val="20"/>
          <w:szCs w:val="20"/>
        </w:rPr>
        <w:t xml:space="preserve">Come previsto dall’art. </w:t>
      </w:r>
      <w:r w:rsidR="009E241C">
        <w:rPr>
          <w:rFonts w:asciiTheme="majorHAnsi" w:hAnsiTheme="majorHAnsi" w:cstheme="majorHAnsi"/>
          <w:bCs/>
          <w:sz w:val="20"/>
          <w:szCs w:val="20"/>
        </w:rPr>
        <w:t>3</w:t>
      </w:r>
      <w:r w:rsidRPr="00E772D9">
        <w:rPr>
          <w:rFonts w:asciiTheme="majorHAnsi" w:hAnsiTheme="majorHAnsi" w:cstheme="majorHAnsi"/>
          <w:bCs/>
          <w:sz w:val="20"/>
          <w:szCs w:val="20"/>
        </w:rPr>
        <w:t xml:space="preserve"> comma </w:t>
      </w:r>
      <w:r w:rsidR="009E241C">
        <w:rPr>
          <w:rFonts w:asciiTheme="majorHAnsi" w:hAnsiTheme="majorHAnsi" w:cstheme="majorHAnsi"/>
          <w:bCs/>
          <w:sz w:val="20"/>
          <w:szCs w:val="20"/>
        </w:rPr>
        <w:t>4</w:t>
      </w:r>
      <w:r w:rsidRPr="00E772D9">
        <w:rPr>
          <w:rFonts w:asciiTheme="majorHAnsi" w:hAnsiTheme="majorHAnsi" w:cstheme="majorHAnsi"/>
          <w:bCs/>
          <w:sz w:val="20"/>
          <w:szCs w:val="20"/>
        </w:rPr>
        <w:t xml:space="preserve"> del </w:t>
      </w:r>
      <w:r w:rsidR="001A31A0" w:rsidRPr="00125134">
        <w:rPr>
          <w:rFonts w:asciiTheme="majorHAnsi" w:eastAsia="Times New Roman" w:hAnsiTheme="majorHAnsi" w:cstheme="majorHAnsi"/>
          <w:sz w:val="20"/>
          <w:szCs w:val="20"/>
          <w:lang w:eastAsia="it-IT"/>
        </w:rPr>
        <w:t>DD</w:t>
      </w:r>
      <w:r w:rsidR="001A31A0">
        <w:rPr>
          <w:rFonts w:asciiTheme="majorHAnsi" w:eastAsia="Times New Roman" w:hAnsiTheme="majorHAnsi" w:cstheme="majorHAnsi"/>
          <w:sz w:val="20"/>
          <w:szCs w:val="20"/>
          <w:lang w:eastAsia="it-IT"/>
        </w:rPr>
        <w:t xml:space="preserve"> 23 dicembre 2024</w:t>
      </w:r>
      <w:r w:rsidRPr="00E772D9">
        <w:rPr>
          <w:rFonts w:asciiTheme="majorHAnsi" w:hAnsiTheme="majorHAnsi" w:cstheme="majorHAnsi"/>
          <w:bCs/>
          <w:sz w:val="20"/>
          <w:szCs w:val="20"/>
        </w:rPr>
        <w:t>, a completamento de</w:t>
      </w:r>
      <w:r w:rsidR="009E241C">
        <w:rPr>
          <w:rFonts w:asciiTheme="majorHAnsi" w:hAnsiTheme="majorHAnsi" w:cstheme="majorHAnsi"/>
          <w:bCs/>
          <w:sz w:val="20"/>
          <w:szCs w:val="20"/>
        </w:rPr>
        <w:t>l</w:t>
      </w:r>
      <w:r w:rsidRPr="00E772D9">
        <w:rPr>
          <w:rFonts w:asciiTheme="majorHAnsi" w:hAnsiTheme="majorHAnsi" w:cstheme="majorHAnsi"/>
          <w:bCs/>
          <w:sz w:val="20"/>
          <w:szCs w:val="20"/>
        </w:rPr>
        <w:t xml:space="preserve"> programm</w:t>
      </w:r>
      <w:r w:rsidR="009E241C">
        <w:rPr>
          <w:rFonts w:asciiTheme="majorHAnsi" w:hAnsiTheme="majorHAnsi" w:cstheme="majorHAnsi"/>
          <w:bCs/>
          <w:sz w:val="20"/>
          <w:szCs w:val="20"/>
        </w:rPr>
        <w:t>a</w:t>
      </w:r>
      <w:r w:rsidRPr="00E772D9">
        <w:rPr>
          <w:rFonts w:asciiTheme="majorHAnsi" w:hAnsiTheme="majorHAnsi" w:cstheme="majorHAnsi"/>
          <w:bCs/>
          <w:sz w:val="20"/>
          <w:szCs w:val="20"/>
        </w:rPr>
        <w:t xml:space="preserve"> di investimento </w:t>
      </w:r>
      <w:r w:rsidR="009E241C">
        <w:rPr>
          <w:rFonts w:asciiTheme="majorHAnsi" w:hAnsiTheme="majorHAnsi" w:cstheme="majorHAnsi"/>
          <w:bCs/>
          <w:sz w:val="20"/>
          <w:szCs w:val="20"/>
        </w:rPr>
        <w:t>(</w:t>
      </w:r>
      <w:r w:rsidR="00062100" w:rsidRPr="00E772D9">
        <w:rPr>
          <w:rFonts w:asciiTheme="majorHAnsi" w:hAnsiTheme="majorHAnsi" w:cstheme="majorHAnsi"/>
          <w:bCs/>
          <w:sz w:val="20"/>
          <w:szCs w:val="20"/>
        </w:rPr>
        <w:t>maggiore efficienza energetica</w:t>
      </w:r>
      <w:r w:rsidR="009E241C">
        <w:rPr>
          <w:rFonts w:asciiTheme="majorHAnsi" w:hAnsiTheme="majorHAnsi" w:cstheme="majorHAnsi"/>
          <w:bCs/>
          <w:sz w:val="20"/>
          <w:szCs w:val="20"/>
        </w:rPr>
        <w:t xml:space="preserve"> e/o</w:t>
      </w:r>
      <w:r w:rsidR="00062100" w:rsidRPr="00E772D9">
        <w:rPr>
          <w:rFonts w:asciiTheme="majorHAnsi" w:hAnsiTheme="majorHAnsi" w:cstheme="majorHAnsi"/>
          <w:bCs/>
          <w:sz w:val="20"/>
          <w:szCs w:val="20"/>
        </w:rPr>
        <w:t xml:space="preserve"> uso efficiente delle risorse</w:t>
      </w:r>
      <w:r w:rsidR="009E241C">
        <w:rPr>
          <w:rFonts w:asciiTheme="majorHAnsi" w:hAnsiTheme="majorHAnsi" w:cstheme="majorHAnsi"/>
          <w:bCs/>
          <w:sz w:val="20"/>
          <w:szCs w:val="20"/>
        </w:rPr>
        <w:t>)</w:t>
      </w:r>
      <w:r w:rsidRPr="00E772D9">
        <w:rPr>
          <w:rFonts w:asciiTheme="majorHAnsi" w:hAnsiTheme="majorHAnsi" w:cstheme="majorHAnsi"/>
          <w:bCs/>
          <w:sz w:val="20"/>
          <w:szCs w:val="20"/>
        </w:rPr>
        <w:t xml:space="preserve"> sono altresì ammissibili, qualora strettamente connessi e funzionali a</w:t>
      </w:r>
      <w:r w:rsidR="009E241C">
        <w:rPr>
          <w:rFonts w:asciiTheme="majorHAnsi" w:hAnsiTheme="majorHAnsi" w:cstheme="majorHAnsi"/>
          <w:bCs/>
          <w:sz w:val="20"/>
          <w:szCs w:val="20"/>
        </w:rPr>
        <w:t>l programma</w:t>
      </w:r>
      <w:r w:rsidRPr="00E772D9">
        <w:rPr>
          <w:rFonts w:asciiTheme="majorHAnsi" w:hAnsiTheme="majorHAnsi" w:cstheme="majorHAnsi"/>
          <w:bCs/>
          <w:sz w:val="20"/>
          <w:szCs w:val="20"/>
        </w:rPr>
        <w:t xml:space="preserve"> medesim</w:t>
      </w:r>
      <w:r w:rsidR="009E241C">
        <w:rPr>
          <w:rFonts w:asciiTheme="majorHAnsi" w:hAnsiTheme="majorHAnsi" w:cstheme="majorHAnsi"/>
          <w:bCs/>
          <w:sz w:val="20"/>
          <w:szCs w:val="20"/>
        </w:rPr>
        <w:t>o</w:t>
      </w:r>
      <w:r w:rsidRPr="00E772D9">
        <w:rPr>
          <w:rFonts w:asciiTheme="majorHAnsi" w:hAnsiTheme="majorHAnsi" w:cstheme="majorHAnsi"/>
          <w:bCs/>
          <w:sz w:val="20"/>
          <w:szCs w:val="20"/>
        </w:rPr>
        <w:t xml:space="preserve">, </w:t>
      </w:r>
      <w:r w:rsidR="009E241C" w:rsidRPr="00E772D9">
        <w:rPr>
          <w:rFonts w:asciiTheme="majorHAnsi" w:hAnsiTheme="majorHAnsi" w:cstheme="majorHAnsi"/>
          <w:bCs/>
          <w:sz w:val="20"/>
          <w:szCs w:val="20"/>
        </w:rPr>
        <w:t>progetti per la formazione del personale</w:t>
      </w:r>
      <w:r w:rsidR="009E241C">
        <w:rPr>
          <w:rFonts w:asciiTheme="majorHAnsi" w:hAnsiTheme="majorHAnsi" w:cstheme="majorHAnsi"/>
          <w:bCs/>
          <w:sz w:val="20"/>
          <w:szCs w:val="20"/>
        </w:rPr>
        <w:t xml:space="preserve"> </w:t>
      </w:r>
      <w:r w:rsidRPr="00E772D9">
        <w:rPr>
          <w:rFonts w:asciiTheme="majorHAnsi" w:hAnsiTheme="majorHAnsi" w:cstheme="majorHAnsi"/>
          <w:bCs/>
          <w:sz w:val="20"/>
          <w:szCs w:val="20"/>
        </w:rPr>
        <w:t>per un ammontare non superiore al 10</w:t>
      </w:r>
      <w:r w:rsidR="009E241C">
        <w:rPr>
          <w:rFonts w:asciiTheme="majorHAnsi" w:hAnsiTheme="majorHAnsi" w:cstheme="majorHAnsi"/>
          <w:bCs/>
          <w:sz w:val="20"/>
          <w:szCs w:val="20"/>
        </w:rPr>
        <w:t xml:space="preserve">% </w:t>
      </w:r>
      <w:r w:rsidRPr="00E772D9">
        <w:rPr>
          <w:rFonts w:asciiTheme="majorHAnsi" w:hAnsiTheme="majorHAnsi" w:cstheme="majorHAnsi"/>
          <w:bCs/>
          <w:sz w:val="20"/>
          <w:szCs w:val="20"/>
        </w:rPr>
        <w:t xml:space="preserve">del </w:t>
      </w:r>
      <w:r w:rsidR="009E241C">
        <w:rPr>
          <w:rFonts w:asciiTheme="majorHAnsi" w:hAnsiTheme="majorHAnsi" w:cstheme="majorHAnsi"/>
          <w:bCs/>
          <w:sz w:val="20"/>
          <w:szCs w:val="20"/>
        </w:rPr>
        <w:t xml:space="preserve">complessivo </w:t>
      </w:r>
      <w:r w:rsidRPr="00E772D9">
        <w:rPr>
          <w:rFonts w:asciiTheme="majorHAnsi" w:hAnsiTheme="majorHAnsi" w:cstheme="majorHAnsi"/>
          <w:bCs/>
          <w:sz w:val="20"/>
          <w:szCs w:val="20"/>
        </w:rPr>
        <w:t>programma di investimento</w:t>
      </w:r>
      <w:r w:rsidR="009E241C">
        <w:rPr>
          <w:rFonts w:asciiTheme="majorHAnsi" w:hAnsiTheme="majorHAnsi" w:cstheme="majorHAnsi"/>
          <w:bCs/>
          <w:sz w:val="20"/>
          <w:szCs w:val="20"/>
        </w:rPr>
        <w:t>.</w:t>
      </w:r>
    </w:p>
    <w:p w14:paraId="505F3A49" w14:textId="347DB939" w:rsidR="00E772D9" w:rsidRDefault="00E772D9" w:rsidP="00727D1A">
      <w:pPr>
        <w:spacing w:after="120" w:line="276" w:lineRule="auto"/>
        <w:jc w:val="both"/>
        <w:rPr>
          <w:rFonts w:asciiTheme="majorHAnsi" w:hAnsiTheme="majorHAnsi" w:cstheme="majorHAnsi"/>
          <w:bCs/>
          <w:sz w:val="20"/>
          <w:szCs w:val="20"/>
        </w:rPr>
      </w:pPr>
      <w:r>
        <w:rPr>
          <w:rFonts w:asciiTheme="majorHAnsi" w:hAnsiTheme="majorHAnsi" w:cstheme="majorHAnsi"/>
          <w:bCs/>
          <w:sz w:val="20"/>
          <w:szCs w:val="20"/>
        </w:rPr>
        <w:t>Si rammenta che è necessario specificare se nella formazione è coinvolto personale con disabilità o lavoratori svantaggiati.</w:t>
      </w:r>
    </w:p>
    <w:p w14:paraId="2B64000E" w14:textId="3DF52A37" w:rsidR="00E772D9" w:rsidRDefault="00E772D9" w:rsidP="00727D1A">
      <w:pPr>
        <w:spacing w:after="120" w:line="276" w:lineRule="auto"/>
        <w:jc w:val="both"/>
        <w:rPr>
          <w:rFonts w:asciiTheme="majorHAnsi" w:hAnsiTheme="majorHAnsi" w:cstheme="majorHAnsi"/>
          <w:bCs/>
          <w:sz w:val="20"/>
          <w:szCs w:val="20"/>
        </w:rPr>
      </w:pPr>
      <w:r>
        <w:rPr>
          <w:rFonts w:asciiTheme="majorHAnsi" w:hAnsiTheme="majorHAnsi" w:cstheme="majorHAnsi"/>
          <w:bCs/>
          <w:sz w:val="20"/>
          <w:szCs w:val="20"/>
        </w:rPr>
        <w:t>Nell’ambito d</w:t>
      </w:r>
      <w:r w:rsidRPr="00E772D9">
        <w:rPr>
          <w:rFonts w:asciiTheme="majorHAnsi" w:hAnsiTheme="majorHAnsi" w:cstheme="majorHAnsi"/>
          <w:bCs/>
          <w:sz w:val="20"/>
          <w:szCs w:val="20"/>
        </w:rPr>
        <w:t>ella valutazion</w:t>
      </w:r>
      <w:r>
        <w:rPr>
          <w:rFonts w:asciiTheme="majorHAnsi" w:hAnsiTheme="majorHAnsi" w:cstheme="majorHAnsi"/>
          <w:bCs/>
          <w:sz w:val="20"/>
          <w:szCs w:val="20"/>
        </w:rPr>
        <w:t>e</w:t>
      </w:r>
      <w:r w:rsidRPr="00E772D9">
        <w:rPr>
          <w:rFonts w:asciiTheme="majorHAnsi" w:hAnsiTheme="majorHAnsi" w:cstheme="majorHAnsi"/>
          <w:bCs/>
          <w:sz w:val="20"/>
          <w:szCs w:val="20"/>
        </w:rPr>
        <w:t xml:space="preserve"> delle spese</w:t>
      </w:r>
      <w:r w:rsidR="00510D9B">
        <w:rPr>
          <w:rFonts w:asciiTheme="majorHAnsi" w:hAnsiTheme="majorHAnsi" w:cstheme="majorHAnsi"/>
          <w:bCs/>
          <w:sz w:val="20"/>
          <w:szCs w:val="20"/>
        </w:rPr>
        <w:t>,</w:t>
      </w:r>
      <w:r>
        <w:rPr>
          <w:rFonts w:asciiTheme="majorHAnsi" w:hAnsiTheme="majorHAnsi" w:cstheme="majorHAnsi"/>
          <w:bCs/>
          <w:sz w:val="20"/>
          <w:szCs w:val="20"/>
        </w:rPr>
        <w:t xml:space="preserve"> </w:t>
      </w:r>
      <w:r w:rsidRPr="00E772D9">
        <w:rPr>
          <w:rFonts w:asciiTheme="majorHAnsi" w:hAnsiTheme="majorHAnsi" w:cstheme="majorHAnsi"/>
          <w:bCs/>
          <w:sz w:val="20"/>
          <w:szCs w:val="20"/>
        </w:rPr>
        <w:t xml:space="preserve">si rammenta che </w:t>
      </w:r>
      <w:r>
        <w:rPr>
          <w:rFonts w:asciiTheme="majorHAnsi" w:eastAsiaTheme="minorEastAsia" w:hAnsiTheme="majorHAnsi" w:cstheme="majorHAnsi"/>
          <w:sz w:val="20"/>
          <w:szCs w:val="20"/>
        </w:rPr>
        <w:t>n</w:t>
      </w:r>
      <w:r w:rsidRPr="00E772D9">
        <w:rPr>
          <w:rFonts w:asciiTheme="majorHAnsi" w:eastAsiaTheme="minorEastAsia" w:hAnsiTheme="majorHAnsi" w:cstheme="majorHAnsi"/>
          <w:sz w:val="20"/>
          <w:szCs w:val="20"/>
        </w:rPr>
        <w:t>on possono essere considerat</w:t>
      </w:r>
      <w:r>
        <w:rPr>
          <w:rFonts w:asciiTheme="majorHAnsi" w:eastAsiaTheme="minorEastAsia" w:hAnsiTheme="majorHAnsi" w:cstheme="majorHAnsi"/>
          <w:sz w:val="20"/>
          <w:szCs w:val="20"/>
        </w:rPr>
        <w:t>e</w:t>
      </w:r>
      <w:r w:rsidRPr="00E772D9">
        <w:rPr>
          <w:rFonts w:asciiTheme="majorHAnsi" w:eastAsiaTheme="minorEastAsia" w:hAnsiTheme="majorHAnsi" w:cstheme="majorHAnsi"/>
          <w:sz w:val="20"/>
          <w:szCs w:val="20"/>
        </w:rPr>
        <w:t xml:space="preserve"> spese ammissibili i costi legati al personale coinvolto nelle sessioni di training (valorizzazione delle ore dei dipendenti che hanno fatto il corso di formazione).</w:t>
      </w:r>
    </w:p>
    <w:p w14:paraId="6B6EA69F" w14:textId="4199504A" w:rsidR="000A7D10" w:rsidRPr="00E772D9" w:rsidRDefault="00E772D9" w:rsidP="00727D1A">
      <w:pPr>
        <w:spacing w:after="120" w:line="276" w:lineRule="auto"/>
        <w:jc w:val="both"/>
        <w:rPr>
          <w:rFonts w:asciiTheme="majorHAnsi" w:hAnsiTheme="majorHAnsi" w:cstheme="majorHAnsi"/>
          <w:b/>
          <w:sz w:val="20"/>
          <w:szCs w:val="20"/>
        </w:rPr>
      </w:pPr>
      <w:r>
        <w:rPr>
          <w:rFonts w:asciiTheme="majorHAnsi" w:hAnsiTheme="majorHAnsi" w:cstheme="majorHAnsi"/>
          <w:bCs/>
          <w:sz w:val="20"/>
          <w:szCs w:val="20"/>
        </w:rPr>
        <w:t>L’intensità di aiuto è stabilita ai sensi dell’art. 31 GBER.</w:t>
      </w:r>
    </w:p>
    <w:sectPr w:rsidR="000A7D10" w:rsidRPr="00E772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9B40F" w14:textId="77777777" w:rsidR="006F0A11" w:rsidRDefault="006F0A11" w:rsidP="00996E5E">
      <w:pPr>
        <w:spacing w:after="0" w:line="240" w:lineRule="auto"/>
      </w:pPr>
      <w:r>
        <w:separator/>
      </w:r>
    </w:p>
  </w:endnote>
  <w:endnote w:type="continuationSeparator" w:id="0">
    <w:p w14:paraId="6792E4B1" w14:textId="77777777" w:rsidR="006F0A11" w:rsidRDefault="006F0A11" w:rsidP="0099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1A578" w14:textId="0BD5308F" w:rsidR="00996E5E" w:rsidRDefault="00996E5E">
    <w:pPr>
      <w:rPr>
        <w:rFonts w:asciiTheme="majorHAnsi" w:eastAsiaTheme="majorEastAsia" w:hAnsiTheme="majorHAnsi" w:cstheme="majorBidi"/>
      </w:rPr>
    </w:pPr>
  </w:p>
  <w:p w14:paraId="0E6AB7C2" w14:textId="2B6E2897" w:rsidR="00996E5E" w:rsidRPr="0055071C" w:rsidRDefault="0055071C" w:rsidP="0055071C">
    <w:pPr>
      <w:pStyle w:val="Pidipagina"/>
      <w:jc w:val="center"/>
      <w:rPr>
        <w:rFonts w:asciiTheme="minorHAnsi" w:hAnsiTheme="minorHAnsi" w:cstheme="minorHAnsi"/>
        <w:sz w:val="18"/>
        <w:szCs w:val="18"/>
      </w:rPr>
    </w:pP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PAGE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1</w:t>
    </w:r>
    <w:r w:rsidRPr="0055071C">
      <w:rPr>
        <w:rFonts w:asciiTheme="minorHAnsi" w:hAnsiTheme="minorHAnsi" w:cstheme="minorHAnsi"/>
        <w:sz w:val="18"/>
        <w:szCs w:val="18"/>
      </w:rPr>
      <w:fldChar w:fldCharType="end"/>
    </w:r>
    <w:r w:rsidRPr="0055071C">
      <w:rPr>
        <w:rFonts w:asciiTheme="minorHAnsi" w:hAnsiTheme="minorHAnsi" w:cstheme="minorHAnsi"/>
        <w:sz w:val="18"/>
        <w:szCs w:val="18"/>
      </w:rPr>
      <w:t xml:space="preserve"> di </w:t>
    </w: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NUMPAGES  \# "0"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43</w:t>
    </w:r>
    <w:r w:rsidRPr="0055071C">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03CA8" w14:textId="77777777" w:rsidR="006F0A11" w:rsidRDefault="006F0A11" w:rsidP="00996E5E">
      <w:pPr>
        <w:spacing w:after="0" w:line="240" w:lineRule="auto"/>
      </w:pPr>
      <w:r>
        <w:separator/>
      </w:r>
    </w:p>
  </w:footnote>
  <w:footnote w:type="continuationSeparator" w:id="0">
    <w:p w14:paraId="54669C86" w14:textId="77777777" w:rsidR="006F0A11" w:rsidRDefault="006F0A11" w:rsidP="00996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26C7E"/>
    <w:multiLevelType w:val="hybridMultilevel"/>
    <w:tmpl w:val="F6FA5F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4232CC"/>
    <w:multiLevelType w:val="hybridMultilevel"/>
    <w:tmpl w:val="EE54ACB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5F7794F"/>
    <w:multiLevelType w:val="hybridMultilevel"/>
    <w:tmpl w:val="0E82173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634245"/>
    <w:multiLevelType w:val="multilevel"/>
    <w:tmpl w:val="0454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F3E6C"/>
    <w:multiLevelType w:val="hybridMultilevel"/>
    <w:tmpl w:val="A0406152"/>
    <w:lvl w:ilvl="0" w:tplc="4456EB32">
      <w:start w:val="1"/>
      <w:numFmt w:val="upperRoman"/>
      <w:pStyle w:val="Titolo2"/>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1846ED"/>
    <w:multiLevelType w:val="hybridMultilevel"/>
    <w:tmpl w:val="86C0DC12"/>
    <w:lvl w:ilvl="0" w:tplc="D636568E">
      <w:start w:val="1"/>
      <w:numFmt w:val="bullet"/>
      <w:lvlText w:val=""/>
      <w:lvlJc w:val="center"/>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2C6745D"/>
    <w:multiLevelType w:val="multilevel"/>
    <w:tmpl w:val="6C30EC4C"/>
    <w:lvl w:ilvl="0">
      <w:start w:val="1"/>
      <w:numFmt w:val="bullet"/>
      <w:lvlText w:val=""/>
      <w:lvlJc w:val="left"/>
      <w:pPr>
        <w:tabs>
          <w:tab w:val="num" w:pos="1572"/>
        </w:tabs>
        <w:ind w:left="1572" w:hanging="360"/>
      </w:pPr>
      <w:rPr>
        <w:rFonts w:ascii="Symbol" w:hAnsi="Symbol"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7" w15:restartNumberingAfterBreak="0">
    <w:nsid w:val="17780A2B"/>
    <w:multiLevelType w:val="hybridMultilevel"/>
    <w:tmpl w:val="31D2D05E"/>
    <w:lvl w:ilvl="0" w:tplc="0FF809EA">
      <w:numFmt w:val="bullet"/>
      <w:lvlText w:val="-"/>
      <w:lvlJc w:val="left"/>
      <w:pPr>
        <w:ind w:left="720" w:hanging="360"/>
      </w:pPr>
      <w:rPr>
        <w:rFonts w:ascii="Times New Roman" w:eastAsia="Times New Roman" w:hAnsi="Times New Roman" w:cs="Times New Roman" w:hint="default"/>
      </w:rPr>
    </w:lvl>
    <w:lvl w:ilvl="1" w:tplc="E76EEAE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A84A50"/>
    <w:multiLevelType w:val="hybridMultilevel"/>
    <w:tmpl w:val="9D624180"/>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9" w15:restartNumberingAfterBreak="0">
    <w:nsid w:val="20343209"/>
    <w:multiLevelType w:val="hybridMultilevel"/>
    <w:tmpl w:val="69148A62"/>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172E24"/>
    <w:multiLevelType w:val="hybridMultilevel"/>
    <w:tmpl w:val="922073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213B7B8C"/>
    <w:multiLevelType w:val="hybridMultilevel"/>
    <w:tmpl w:val="131C9DF8"/>
    <w:lvl w:ilvl="0" w:tplc="D6AC1696">
      <w:start w:val="1"/>
      <w:numFmt w:val="decimal"/>
      <w:lvlText w:val="%1."/>
      <w:lvlJc w:val="left"/>
      <w:pPr>
        <w:ind w:left="1320" w:hanging="360"/>
      </w:pPr>
    </w:lvl>
    <w:lvl w:ilvl="1" w:tplc="EBA4A8B6">
      <w:start w:val="1"/>
      <w:numFmt w:val="decimal"/>
      <w:lvlText w:val="%2."/>
      <w:lvlJc w:val="left"/>
      <w:pPr>
        <w:ind w:left="1320" w:hanging="360"/>
      </w:pPr>
    </w:lvl>
    <w:lvl w:ilvl="2" w:tplc="D52C800E">
      <w:start w:val="1"/>
      <w:numFmt w:val="decimal"/>
      <w:lvlText w:val="%3."/>
      <w:lvlJc w:val="left"/>
      <w:pPr>
        <w:ind w:left="1320" w:hanging="360"/>
      </w:pPr>
    </w:lvl>
    <w:lvl w:ilvl="3" w:tplc="1E0CFB82">
      <w:start w:val="1"/>
      <w:numFmt w:val="decimal"/>
      <w:lvlText w:val="%4."/>
      <w:lvlJc w:val="left"/>
      <w:pPr>
        <w:ind w:left="1320" w:hanging="360"/>
      </w:pPr>
    </w:lvl>
    <w:lvl w:ilvl="4" w:tplc="65A02EEA">
      <w:start w:val="1"/>
      <w:numFmt w:val="decimal"/>
      <w:lvlText w:val="%5."/>
      <w:lvlJc w:val="left"/>
      <w:pPr>
        <w:ind w:left="1320" w:hanging="360"/>
      </w:pPr>
    </w:lvl>
    <w:lvl w:ilvl="5" w:tplc="1E5C110E">
      <w:start w:val="1"/>
      <w:numFmt w:val="decimal"/>
      <w:lvlText w:val="%6."/>
      <w:lvlJc w:val="left"/>
      <w:pPr>
        <w:ind w:left="1320" w:hanging="360"/>
      </w:pPr>
    </w:lvl>
    <w:lvl w:ilvl="6" w:tplc="9C9813CC">
      <w:start w:val="1"/>
      <w:numFmt w:val="decimal"/>
      <w:lvlText w:val="%7."/>
      <w:lvlJc w:val="left"/>
      <w:pPr>
        <w:ind w:left="1320" w:hanging="360"/>
      </w:pPr>
    </w:lvl>
    <w:lvl w:ilvl="7" w:tplc="BBCAC994">
      <w:start w:val="1"/>
      <w:numFmt w:val="decimal"/>
      <w:lvlText w:val="%8."/>
      <w:lvlJc w:val="left"/>
      <w:pPr>
        <w:ind w:left="1320" w:hanging="360"/>
      </w:pPr>
    </w:lvl>
    <w:lvl w:ilvl="8" w:tplc="EED273C0">
      <w:start w:val="1"/>
      <w:numFmt w:val="decimal"/>
      <w:lvlText w:val="%9."/>
      <w:lvlJc w:val="left"/>
      <w:pPr>
        <w:ind w:left="1320" w:hanging="360"/>
      </w:pPr>
    </w:lvl>
  </w:abstractNum>
  <w:abstractNum w:abstractNumId="12" w15:restartNumberingAfterBreak="0">
    <w:nsid w:val="21C83BA6"/>
    <w:multiLevelType w:val="hybridMultilevel"/>
    <w:tmpl w:val="0474230E"/>
    <w:lvl w:ilvl="0" w:tplc="1C9CEF0A">
      <w:start w:val="1"/>
      <w:numFmt w:val="decimal"/>
      <w:lvlText w:val="%1."/>
      <w:lvlJc w:val="left"/>
      <w:pPr>
        <w:ind w:left="1320" w:hanging="360"/>
      </w:pPr>
    </w:lvl>
    <w:lvl w:ilvl="1" w:tplc="0382D0E0">
      <w:start w:val="1"/>
      <w:numFmt w:val="decimal"/>
      <w:lvlText w:val="%2."/>
      <w:lvlJc w:val="left"/>
      <w:pPr>
        <w:ind w:left="1320" w:hanging="360"/>
      </w:pPr>
    </w:lvl>
    <w:lvl w:ilvl="2" w:tplc="DFF4541E">
      <w:start w:val="1"/>
      <w:numFmt w:val="decimal"/>
      <w:lvlText w:val="%3."/>
      <w:lvlJc w:val="left"/>
      <w:pPr>
        <w:ind w:left="1320" w:hanging="360"/>
      </w:pPr>
    </w:lvl>
    <w:lvl w:ilvl="3" w:tplc="9CEEF8CA">
      <w:start w:val="1"/>
      <w:numFmt w:val="decimal"/>
      <w:lvlText w:val="%4."/>
      <w:lvlJc w:val="left"/>
      <w:pPr>
        <w:ind w:left="1320" w:hanging="360"/>
      </w:pPr>
    </w:lvl>
    <w:lvl w:ilvl="4" w:tplc="DE0E5C8A">
      <w:start w:val="1"/>
      <w:numFmt w:val="decimal"/>
      <w:lvlText w:val="%5."/>
      <w:lvlJc w:val="left"/>
      <w:pPr>
        <w:ind w:left="1320" w:hanging="360"/>
      </w:pPr>
    </w:lvl>
    <w:lvl w:ilvl="5" w:tplc="6FE896EA">
      <w:start w:val="1"/>
      <w:numFmt w:val="decimal"/>
      <w:lvlText w:val="%6."/>
      <w:lvlJc w:val="left"/>
      <w:pPr>
        <w:ind w:left="1320" w:hanging="360"/>
      </w:pPr>
    </w:lvl>
    <w:lvl w:ilvl="6" w:tplc="3A005E60">
      <w:start w:val="1"/>
      <w:numFmt w:val="decimal"/>
      <w:lvlText w:val="%7."/>
      <w:lvlJc w:val="left"/>
      <w:pPr>
        <w:ind w:left="1320" w:hanging="360"/>
      </w:pPr>
    </w:lvl>
    <w:lvl w:ilvl="7" w:tplc="20640ABA">
      <w:start w:val="1"/>
      <w:numFmt w:val="decimal"/>
      <w:lvlText w:val="%8."/>
      <w:lvlJc w:val="left"/>
      <w:pPr>
        <w:ind w:left="1320" w:hanging="360"/>
      </w:pPr>
    </w:lvl>
    <w:lvl w:ilvl="8" w:tplc="C400EB9C">
      <w:start w:val="1"/>
      <w:numFmt w:val="decimal"/>
      <w:lvlText w:val="%9."/>
      <w:lvlJc w:val="left"/>
      <w:pPr>
        <w:ind w:left="1320" w:hanging="360"/>
      </w:pPr>
    </w:lvl>
  </w:abstractNum>
  <w:abstractNum w:abstractNumId="13" w15:restartNumberingAfterBreak="0">
    <w:nsid w:val="295A2DD7"/>
    <w:multiLevelType w:val="hybridMultilevel"/>
    <w:tmpl w:val="A1BC3AE2"/>
    <w:lvl w:ilvl="0" w:tplc="FFFFFFFF">
      <w:start w:val="1"/>
      <w:numFmt w:val="decimal"/>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E44794"/>
    <w:multiLevelType w:val="hybridMultilevel"/>
    <w:tmpl w:val="8B7EC532"/>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5" w15:restartNumberingAfterBreak="0">
    <w:nsid w:val="2B145242"/>
    <w:multiLevelType w:val="hybridMultilevel"/>
    <w:tmpl w:val="D0DE6852"/>
    <w:lvl w:ilvl="0" w:tplc="7844275E">
      <w:start w:val="1"/>
      <w:numFmt w:val="decimal"/>
      <w:lvlText w:val="%1."/>
      <w:lvlJc w:val="left"/>
      <w:pPr>
        <w:ind w:left="1320" w:hanging="360"/>
      </w:pPr>
    </w:lvl>
    <w:lvl w:ilvl="1" w:tplc="878A32A4">
      <w:start w:val="1"/>
      <w:numFmt w:val="decimal"/>
      <w:lvlText w:val="%2."/>
      <w:lvlJc w:val="left"/>
      <w:pPr>
        <w:ind w:left="1320" w:hanging="360"/>
      </w:pPr>
    </w:lvl>
    <w:lvl w:ilvl="2" w:tplc="42064CF8">
      <w:start w:val="1"/>
      <w:numFmt w:val="decimal"/>
      <w:lvlText w:val="%3."/>
      <w:lvlJc w:val="left"/>
      <w:pPr>
        <w:ind w:left="1320" w:hanging="360"/>
      </w:pPr>
    </w:lvl>
    <w:lvl w:ilvl="3" w:tplc="20C2015E">
      <w:start w:val="1"/>
      <w:numFmt w:val="decimal"/>
      <w:lvlText w:val="%4."/>
      <w:lvlJc w:val="left"/>
      <w:pPr>
        <w:ind w:left="1320" w:hanging="360"/>
      </w:pPr>
    </w:lvl>
    <w:lvl w:ilvl="4" w:tplc="D14CF07A">
      <w:start w:val="1"/>
      <w:numFmt w:val="decimal"/>
      <w:lvlText w:val="%5."/>
      <w:lvlJc w:val="left"/>
      <w:pPr>
        <w:ind w:left="1320" w:hanging="360"/>
      </w:pPr>
    </w:lvl>
    <w:lvl w:ilvl="5" w:tplc="2D821F5C">
      <w:start w:val="1"/>
      <w:numFmt w:val="decimal"/>
      <w:lvlText w:val="%6."/>
      <w:lvlJc w:val="left"/>
      <w:pPr>
        <w:ind w:left="1320" w:hanging="360"/>
      </w:pPr>
    </w:lvl>
    <w:lvl w:ilvl="6" w:tplc="85963932">
      <w:start w:val="1"/>
      <w:numFmt w:val="decimal"/>
      <w:lvlText w:val="%7."/>
      <w:lvlJc w:val="left"/>
      <w:pPr>
        <w:ind w:left="1320" w:hanging="360"/>
      </w:pPr>
    </w:lvl>
    <w:lvl w:ilvl="7" w:tplc="B94A00DE">
      <w:start w:val="1"/>
      <w:numFmt w:val="decimal"/>
      <w:lvlText w:val="%8."/>
      <w:lvlJc w:val="left"/>
      <w:pPr>
        <w:ind w:left="1320" w:hanging="360"/>
      </w:pPr>
    </w:lvl>
    <w:lvl w:ilvl="8" w:tplc="B5528656">
      <w:start w:val="1"/>
      <w:numFmt w:val="decimal"/>
      <w:lvlText w:val="%9."/>
      <w:lvlJc w:val="left"/>
      <w:pPr>
        <w:ind w:left="1320" w:hanging="360"/>
      </w:pPr>
    </w:lvl>
  </w:abstractNum>
  <w:abstractNum w:abstractNumId="16"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156C0A"/>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220413"/>
    <w:multiLevelType w:val="hybridMultilevel"/>
    <w:tmpl w:val="B32AC434"/>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708AEC62">
      <w:start w:val="2"/>
      <w:numFmt w:val="bullet"/>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144BB7"/>
    <w:multiLevelType w:val="hybridMultilevel"/>
    <w:tmpl w:val="DB806AF0"/>
    <w:lvl w:ilvl="0" w:tplc="1C72C09A">
      <w:start w:val="1"/>
      <w:numFmt w:val="upperRoman"/>
      <w:lvlText w:val="%1."/>
      <w:lvlJc w:val="left"/>
      <w:pPr>
        <w:ind w:left="720" w:hanging="72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A17EA5"/>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FD50E7"/>
    <w:multiLevelType w:val="hybridMultilevel"/>
    <w:tmpl w:val="EA5A45A4"/>
    <w:lvl w:ilvl="0" w:tplc="0410000F">
      <w:start w:val="1"/>
      <w:numFmt w:val="decimal"/>
      <w:lvlText w:val="%1."/>
      <w:lvlJc w:val="left"/>
      <w:pPr>
        <w:ind w:left="6" w:hanging="360"/>
      </w:pPr>
    </w:lvl>
    <w:lvl w:ilvl="1" w:tplc="04100019" w:tentative="1">
      <w:start w:val="1"/>
      <w:numFmt w:val="lowerLetter"/>
      <w:lvlText w:val="%2."/>
      <w:lvlJc w:val="left"/>
      <w:pPr>
        <w:ind w:left="726" w:hanging="360"/>
      </w:pPr>
    </w:lvl>
    <w:lvl w:ilvl="2" w:tplc="0410001B" w:tentative="1">
      <w:start w:val="1"/>
      <w:numFmt w:val="lowerRoman"/>
      <w:lvlText w:val="%3."/>
      <w:lvlJc w:val="right"/>
      <w:pPr>
        <w:ind w:left="1446" w:hanging="180"/>
      </w:pPr>
    </w:lvl>
    <w:lvl w:ilvl="3" w:tplc="0410000F" w:tentative="1">
      <w:start w:val="1"/>
      <w:numFmt w:val="decimal"/>
      <w:lvlText w:val="%4."/>
      <w:lvlJc w:val="left"/>
      <w:pPr>
        <w:ind w:left="2166" w:hanging="360"/>
      </w:pPr>
    </w:lvl>
    <w:lvl w:ilvl="4" w:tplc="04100019" w:tentative="1">
      <w:start w:val="1"/>
      <w:numFmt w:val="lowerLetter"/>
      <w:lvlText w:val="%5."/>
      <w:lvlJc w:val="left"/>
      <w:pPr>
        <w:ind w:left="2886" w:hanging="360"/>
      </w:pPr>
    </w:lvl>
    <w:lvl w:ilvl="5" w:tplc="0410001B" w:tentative="1">
      <w:start w:val="1"/>
      <w:numFmt w:val="lowerRoman"/>
      <w:lvlText w:val="%6."/>
      <w:lvlJc w:val="right"/>
      <w:pPr>
        <w:ind w:left="3606" w:hanging="180"/>
      </w:pPr>
    </w:lvl>
    <w:lvl w:ilvl="6" w:tplc="0410000F" w:tentative="1">
      <w:start w:val="1"/>
      <w:numFmt w:val="decimal"/>
      <w:lvlText w:val="%7."/>
      <w:lvlJc w:val="left"/>
      <w:pPr>
        <w:ind w:left="4326" w:hanging="360"/>
      </w:pPr>
    </w:lvl>
    <w:lvl w:ilvl="7" w:tplc="04100019" w:tentative="1">
      <w:start w:val="1"/>
      <w:numFmt w:val="lowerLetter"/>
      <w:lvlText w:val="%8."/>
      <w:lvlJc w:val="left"/>
      <w:pPr>
        <w:ind w:left="5046" w:hanging="360"/>
      </w:pPr>
    </w:lvl>
    <w:lvl w:ilvl="8" w:tplc="0410001B" w:tentative="1">
      <w:start w:val="1"/>
      <w:numFmt w:val="lowerRoman"/>
      <w:lvlText w:val="%9."/>
      <w:lvlJc w:val="right"/>
      <w:pPr>
        <w:ind w:left="5766" w:hanging="180"/>
      </w:pPr>
    </w:lvl>
  </w:abstractNum>
  <w:abstractNum w:abstractNumId="22" w15:restartNumberingAfterBreak="0">
    <w:nsid w:val="37770851"/>
    <w:multiLevelType w:val="hybridMultilevel"/>
    <w:tmpl w:val="A94414D0"/>
    <w:lvl w:ilvl="0" w:tplc="C296A06C">
      <w:start w:val="1"/>
      <w:numFmt w:val="lowerLetter"/>
      <w:lvlText w:val="%1)"/>
      <w:lvlJc w:val="left"/>
      <w:pPr>
        <w:ind w:left="1099" w:hanging="360"/>
      </w:pPr>
      <w:rPr>
        <w:b w:val="0"/>
        <w:bCs/>
      </w:rPr>
    </w:lvl>
    <w:lvl w:ilvl="1" w:tplc="04100019" w:tentative="1">
      <w:start w:val="1"/>
      <w:numFmt w:val="lowerLetter"/>
      <w:lvlText w:val="%2."/>
      <w:lvlJc w:val="left"/>
      <w:pPr>
        <w:ind w:left="1819" w:hanging="360"/>
      </w:pPr>
    </w:lvl>
    <w:lvl w:ilvl="2" w:tplc="0410001B" w:tentative="1">
      <w:start w:val="1"/>
      <w:numFmt w:val="lowerRoman"/>
      <w:lvlText w:val="%3."/>
      <w:lvlJc w:val="right"/>
      <w:pPr>
        <w:ind w:left="2539" w:hanging="180"/>
      </w:pPr>
    </w:lvl>
    <w:lvl w:ilvl="3" w:tplc="0410000F" w:tentative="1">
      <w:start w:val="1"/>
      <w:numFmt w:val="decimal"/>
      <w:lvlText w:val="%4."/>
      <w:lvlJc w:val="left"/>
      <w:pPr>
        <w:ind w:left="3259" w:hanging="360"/>
      </w:pPr>
    </w:lvl>
    <w:lvl w:ilvl="4" w:tplc="04100019" w:tentative="1">
      <w:start w:val="1"/>
      <w:numFmt w:val="lowerLetter"/>
      <w:lvlText w:val="%5."/>
      <w:lvlJc w:val="left"/>
      <w:pPr>
        <w:ind w:left="3979" w:hanging="360"/>
      </w:pPr>
    </w:lvl>
    <w:lvl w:ilvl="5" w:tplc="0410001B" w:tentative="1">
      <w:start w:val="1"/>
      <w:numFmt w:val="lowerRoman"/>
      <w:lvlText w:val="%6."/>
      <w:lvlJc w:val="right"/>
      <w:pPr>
        <w:ind w:left="4699" w:hanging="180"/>
      </w:pPr>
    </w:lvl>
    <w:lvl w:ilvl="6" w:tplc="0410000F" w:tentative="1">
      <w:start w:val="1"/>
      <w:numFmt w:val="decimal"/>
      <w:lvlText w:val="%7."/>
      <w:lvlJc w:val="left"/>
      <w:pPr>
        <w:ind w:left="5419" w:hanging="360"/>
      </w:pPr>
    </w:lvl>
    <w:lvl w:ilvl="7" w:tplc="04100019" w:tentative="1">
      <w:start w:val="1"/>
      <w:numFmt w:val="lowerLetter"/>
      <w:lvlText w:val="%8."/>
      <w:lvlJc w:val="left"/>
      <w:pPr>
        <w:ind w:left="6139" w:hanging="360"/>
      </w:pPr>
    </w:lvl>
    <w:lvl w:ilvl="8" w:tplc="0410001B" w:tentative="1">
      <w:start w:val="1"/>
      <w:numFmt w:val="lowerRoman"/>
      <w:lvlText w:val="%9."/>
      <w:lvlJc w:val="right"/>
      <w:pPr>
        <w:ind w:left="6859" w:hanging="180"/>
      </w:pPr>
    </w:lvl>
  </w:abstractNum>
  <w:abstractNum w:abstractNumId="23" w15:restartNumberingAfterBreak="0">
    <w:nsid w:val="3C4C0182"/>
    <w:multiLevelType w:val="hybridMultilevel"/>
    <w:tmpl w:val="08F60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5" w15:restartNumberingAfterBreak="0">
    <w:nsid w:val="3DD428C0"/>
    <w:multiLevelType w:val="hybridMultilevel"/>
    <w:tmpl w:val="04847F0E"/>
    <w:lvl w:ilvl="0" w:tplc="09C88F44">
      <w:numFmt w:val="bullet"/>
      <w:lvlText w:val="-"/>
      <w:lvlJc w:val="left"/>
      <w:pPr>
        <w:ind w:left="1788" w:hanging="360"/>
      </w:pPr>
      <w:rPr>
        <w:rFonts w:ascii="Calibri" w:eastAsia="Calibri" w:hAnsi="Calibri" w:cs="Times New Roman"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15:restartNumberingAfterBreak="0">
    <w:nsid w:val="3FA85A03"/>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0AF408F"/>
    <w:multiLevelType w:val="hybridMultilevel"/>
    <w:tmpl w:val="C0F62C9E"/>
    <w:lvl w:ilvl="0" w:tplc="115435CA">
      <w:start w:val="1"/>
      <w:numFmt w:val="decimal"/>
      <w:lvlText w:val="%1."/>
      <w:lvlJc w:val="left"/>
      <w:pPr>
        <w:ind w:left="1320" w:hanging="360"/>
      </w:pPr>
    </w:lvl>
    <w:lvl w:ilvl="1" w:tplc="EB5CC396">
      <w:start w:val="1"/>
      <w:numFmt w:val="decimal"/>
      <w:lvlText w:val="%2."/>
      <w:lvlJc w:val="left"/>
      <w:pPr>
        <w:ind w:left="1320" w:hanging="360"/>
      </w:pPr>
    </w:lvl>
    <w:lvl w:ilvl="2" w:tplc="CA2237F2">
      <w:start w:val="1"/>
      <w:numFmt w:val="decimal"/>
      <w:lvlText w:val="%3."/>
      <w:lvlJc w:val="left"/>
      <w:pPr>
        <w:ind w:left="1320" w:hanging="360"/>
      </w:pPr>
    </w:lvl>
    <w:lvl w:ilvl="3" w:tplc="892CD41C">
      <w:start w:val="1"/>
      <w:numFmt w:val="decimal"/>
      <w:lvlText w:val="%4."/>
      <w:lvlJc w:val="left"/>
      <w:pPr>
        <w:ind w:left="1320" w:hanging="360"/>
      </w:pPr>
    </w:lvl>
    <w:lvl w:ilvl="4" w:tplc="AC1C381A">
      <w:start w:val="1"/>
      <w:numFmt w:val="decimal"/>
      <w:lvlText w:val="%5."/>
      <w:lvlJc w:val="left"/>
      <w:pPr>
        <w:ind w:left="1320" w:hanging="360"/>
      </w:pPr>
    </w:lvl>
    <w:lvl w:ilvl="5" w:tplc="C96A60D8">
      <w:start w:val="1"/>
      <w:numFmt w:val="decimal"/>
      <w:lvlText w:val="%6."/>
      <w:lvlJc w:val="left"/>
      <w:pPr>
        <w:ind w:left="1320" w:hanging="360"/>
      </w:pPr>
    </w:lvl>
    <w:lvl w:ilvl="6" w:tplc="BC5C94F4">
      <w:start w:val="1"/>
      <w:numFmt w:val="decimal"/>
      <w:lvlText w:val="%7."/>
      <w:lvlJc w:val="left"/>
      <w:pPr>
        <w:ind w:left="1320" w:hanging="360"/>
      </w:pPr>
    </w:lvl>
    <w:lvl w:ilvl="7" w:tplc="C758108C">
      <w:start w:val="1"/>
      <w:numFmt w:val="decimal"/>
      <w:lvlText w:val="%8."/>
      <w:lvlJc w:val="left"/>
      <w:pPr>
        <w:ind w:left="1320" w:hanging="360"/>
      </w:pPr>
    </w:lvl>
    <w:lvl w:ilvl="8" w:tplc="34503938">
      <w:start w:val="1"/>
      <w:numFmt w:val="decimal"/>
      <w:lvlText w:val="%9."/>
      <w:lvlJc w:val="left"/>
      <w:pPr>
        <w:ind w:left="1320" w:hanging="360"/>
      </w:pPr>
    </w:lvl>
  </w:abstractNum>
  <w:abstractNum w:abstractNumId="28" w15:restartNumberingAfterBreak="0">
    <w:nsid w:val="412857A6"/>
    <w:multiLevelType w:val="hybridMultilevel"/>
    <w:tmpl w:val="11FA031E"/>
    <w:lvl w:ilvl="0" w:tplc="FFFFFFFF">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9" w15:restartNumberingAfterBreak="0">
    <w:nsid w:val="41C44706"/>
    <w:multiLevelType w:val="hybridMultilevel"/>
    <w:tmpl w:val="F7680E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4254F2"/>
    <w:multiLevelType w:val="hybridMultilevel"/>
    <w:tmpl w:val="1430B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4B2730"/>
    <w:multiLevelType w:val="hybridMultilevel"/>
    <w:tmpl w:val="5762B28A"/>
    <w:lvl w:ilvl="0" w:tplc="733AD7A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EE7495"/>
    <w:multiLevelType w:val="hybridMultilevel"/>
    <w:tmpl w:val="A218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6C54017"/>
    <w:multiLevelType w:val="hybridMultilevel"/>
    <w:tmpl w:val="4782D60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6EE6445"/>
    <w:multiLevelType w:val="hybridMultilevel"/>
    <w:tmpl w:val="5D4A5946"/>
    <w:lvl w:ilvl="0" w:tplc="FFFFFFFF">
      <w:numFmt w:val="bullet"/>
      <w:lvlText w:val="-"/>
      <w:lvlJc w:val="left"/>
      <w:pPr>
        <w:ind w:left="1440" w:hanging="360"/>
      </w:pPr>
      <w:rPr>
        <w:rFonts w:ascii="Times New Roman" w:eastAsia="Times New Roman" w:hAnsi="Times New Roman" w:cs="Times New Roman" w:hint="default"/>
      </w:rPr>
    </w:lvl>
    <w:lvl w:ilvl="1" w:tplc="D91A40F4">
      <w:start w:val="1"/>
      <w:numFmt w:val="bullet"/>
      <w:lvlText w:val="-"/>
      <w:lvlJc w:val="left"/>
      <w:pPr>
        <w:ind w:left="2160" w:hanging="360"/>
      </w:pPr>
      <w:rPr>
        <w:rFonts w:ascii="Times New Roman" w:eastAsia="Times New Roman"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476F1E0E"/>
    <w:multiLevelType w:val="hybridMultilevel"/>
    <w:tmpl w:val="716E25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DF5326"/>
    <w:multiLevelType w:val="hybridMultilevel"/>
    <w:tmpl w:val="20E2CF38"/>
    <w:lvl w:ilvl="0" w:tplc="14208B3A">
      <w:start w:val="1"/>
      <w:numFmt w:val="decimal"/>
      <w:lvlText w:val="%1."/>
      <w:lvlJc w:val="left"/>
      <w:pPr>
        <w:ind w:left="1320" w:hanging="360"/>
      </w:pPr>
    </w:lvl>
    <w:lvl w:ilvl="1" w:tplc="D6EA8B26">
      <w:start w:val="1"/>
      <w:numFmt w:val="decimal"/>
      <w:lvlText w:val="%2."/>
      <w:lvlJc w:val="left"/>
      <w:pPr>
        <w:ind w:left="1320" w:hanging="360"/>
      </w:pPr>
    </w:lvl>
    <w:lvl w:ilvl="2" w:tplc="B45224B2">
      <w:start w:val="1"/>
      <w:numFmt w:val="decimal"/>
      <w:lvlText w:val="%3."/>
      <w:lvlJc w:val="left"/>
      <w:pPr>
        <w:ind w:left="1320" w:hanging="360"/>
      </w:pPr>
    </w:lvl>
    <w:lvl w:ilvl="3" w:tplc="0B4830C0">
      <w:start w:val="1"/>
      <w:numFmt w:val="decimal"/>
      <w:lvlText w:val="%4."/>
      <w:lvlJc w:val="left"/>
      <w:pPr>
        <w:ind w:left="1320" w:hanging="360"/>
      </w:pPr>
    </w:lvl>
    <w:lvl w:ilvl="4" w:tplc="A8207916">
      <w:start w:val="1"/>
      <w:numFmt w:val="decimal"/>
      <w:lvlText w:val="%5."/>
      <w:lvlJc w:val="left"/>
      <w:pPr>
        <w:ind w:left="1320" w:hanging="360"/>
      </w:pPr>
    </w:lvl>
    <w:lvl w:ilvl="5" w:tplc="A1944FB6">
      <w:start w:val="1"/>
      <w:numFmt w:val="decimal"/>
      <w:lvlText w:val="%6."/>
      <w:lvlJc w:val="left"/>
      <w:pPr>
        <w:ind w:left="1320" w:hanging="360"/>
      </w:pPr>
    </w:lvl>
    <w:lvl w:ilvl="6" w:tplc="4E6E2400">
      <w:start w:val="1"/>
      <w:numFmt w:val="decimal"/>
      <w:lvlText w:val="%7."/>
      <w:lvlJc w:val="left"/>
      <w:pPr>
        <w:ind w:left="1320" w:hanging="360"/>
      </w:pPr>
    </w:lvl>
    <w:lvl w:ilvl="7" w:tplc="7AAA4D82">
      <w:start w:val="1"/>
      <w:numFmt w:val="decimal"/>
      <w:lvlText w:val="%8."/>
      <w:lvlJc w:val="left"/>
      <w:pPr>
        <w:ind w:left="1320" w:hanging="360"/>
      </w:pPr>
    </w:lvl>
    <w:lvl w:ilvl="8" w:tplc="ED627E90">
      <w:start w:val="1"/>
      <w:numFmt w:val="decimal"/>
      <w:lvlText w:val="%9."/>
      <w:lvlJc w:val="left"/>
      <w:pPr>
        <w:ind w:left="1320" w:hanging="360"/>
      </w:pPr>
    </w:lvl>
  </w:abstractNum>
  <w:abstractNum w:abstractNumId="38"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B972CCC"/>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BC34236"/>
    <w:multiLevelType w:val="hybridMultilevel"/>
    <w:tmpl w:val="6D48BB7E"/>
    <w:lvl w:ilvl="0" w:tplc="04100001">
      <w:start w:val="1"/>
      <w:numFmt w:val="bullet"/>
      <w:lvlText w:val=""/>
      <w:lvlJc w:val="left"/>
      <w:pPr>
        <w:ind w:left="502" w:hanging="360"/>
      </w:pPr>
      <w:rPr>
        <w:rFonts w:ascii="Symbol" w:hAnsi="Symbol" w:hint="default"/>
      </w:rPr>
    </w:lvl>
    <w:lvl w:ilvl="1" w:tplc="04100003">
      <w:start w:val="1"/>
      <w:numFmt w:val="bullet"/>
      <w:lvlText w:val="o"/>
      <w:lvlJc w:val="left"/>
      <w:pPr>
        <w:ind w:left="1211"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4E9C049B"/>
    <w:multiLevelType w:val="hybridMultilevel"/>
    <w:tmpl w:val="9E6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F72111A"/>
    <w:multiLevelType w:val="hybridMultilevel"/>
    <w:tmpl w:val="9C944FD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44" w15:restartNumberingAfterBreak="0">
    <w:nsid w:val="522A5894"/>
    <w:multiLevelType w:val="hybridMultilevel"/>
    <w:tmpl w:val="FF2CDAC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5" w15:restartNumberingAfterBreak="0">
    <w:nsid w:val="58BD1E18"/>
    <w:multiLevelType w:val="hybridMultilevel"/>
    <w:tmpl w:val="192E7508"/>
    <w:lvl w:ilvl="0" w:tplc="FFFFFFFF">
      <w:start w:val="1"/>
      <w:numFmt w:val="upperRoman"/>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D567621"/>
    <w:multiLevelType w:val="hybridMultilevel"/>
    <w:tmpl w:val="B5BC738E"/>
    <w:lvl w:ilvl="0" w:tplc="0410001B">
      <w:start w:val="1"/>
      <w:numFmt w:val="lowerRoman"/>
      <w:lvlText w:val="%1."/>
      <w:lvlJc w:val="right"/>
      <w:pPr>
        <w:ind w:left="785" w:hanging="360"/>
      </w:pPr>
      <w:rPr>
        <w:rFonts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47" w15:restartNumberingAfterBreak="0">
    <w:nsid w:val="5FD37BB4"/>
    <w:multiLevelType w:val="hybridMultilevel"/>
    <w:tmpl w:val="AF5CF3FE"/>
    <w:lvl w:ilvl="0" w:tplc="FFFFFFFF">
      <w:numFmt w:val="bullet"/>
      <w:lvlText w:val="-"/>
      <w:lvlJc w:val="left"/>
      <w:pPr>
        <w:ind w:left="1440" w:hanging="360"/>
      </w:pPr>
      <w:rPr>
        <w:rFonts w:ascii="Times New Roman" w:eastAsia="Times New Roman" w:hAnsi="Times New Roman" w:cs="Times New Roman" w:hint="default"/>
      </w:rPr>
    </w:lvl>
    <w:lvl w:ilvl="1" w:tplc="04100001">
      <w:start w:val="1"/>
      <w:numFmt w:val="bullet"/>
      <w:lvlText w:val=""/>
      <w:lvlJc w:val="left"/>
      <w:pPr>
        <w:ind w:left="72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618324A6"/>
    <w:multiLevelType w:val="hybridMultilevel"/>
    <w:tmpl w:val="497695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4BA7C4D"/>
    <w:multiLevelType w:val="hybridMultilevel"/>
    <w:tmpl w:val="EA5A45A4"/>
    <w:lvl w:ilvl="0" w:tplc="FFFFFFFF">
      <w:start w:val="1"/>
      <w:numFmt w:val="decimal"/>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0" w15:restartNumberingAfterBreak="0">
    <w:nsid w:val="66F64496"/>
    <w:multiLevelType w:val="hybridMultilevel"/>
    <w:tmpl w:val="D2E680B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8FC6739"/>
    <w:multiLevelType w:val="hybridMultilevel"/>
    <w:tmpl w:val="13F645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9424CF5"/>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B7D5E79"/>
    <w:multiLevelType w:val="hybridMultilevel"/>
    <w:tmpl w:val="17EC3F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4" w15:restartNumberingAfterBreak="0">
    <w:nsid w:val="6C15378E"/>
    <w:multiLevelType w:val="hybridMultilevel"/>
    <w:tmpl w:val="40FEC21E"/>
    <w:lvl w:ilvl="0" w:tplc="E150482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DEC4531"/>
    <w:multiLevelType w:val="hybridMultilevel"/>
    <w:tmpl w:val="3640BF30"/>
    <w:lvl w:ilvl="0" w:tplc="508A4624">
      <w:start w:val="1"/>
      <w:numFmt w:val="decimal"/>
      <w:lvlText w:val="%1."/>
      <w:lvlJc w:val="left"/>
      <w:pPr>
        <w:ind w:left="1320" w:hanging="360"/>
      </w:pPr>
    </w:lvl>
    <w:lvl w:ilvl="1" w:tplc="429CD2D2">
      <w:start w:val="1"/>
      <w:numFmt w:val="decimal"/>
      <w:lvlText w:val="%2."/>
      <w:lvlJc w:val="left"/>
      <w:pPr>
        <w:ind w:left="1320" w:hanging="360"/>
      </w:pPr>
    </w:lvl>
    <w:lvl w:ilvl="2" w:tplc="5ED6D6DA">
      <w:start w:val="1"/>
      <w:numFmt w:val="decimal"/>
      <w:lvlText w:val="%3."/>
      <w:lvlJc w:val="left"/>
      <w:pPr>
        <w:ind w:left="1320" w:hanging="360"/>
      </w:pPr>
    </w:lvl>
    <w:lvl w:ilvl="3" w:tplc="EDDA5008">
      <w:start w:val="1"/>
      <w:numFmt w:val="decimal"/>
      <w:lvlText w:val="%4."/>
      <w:lvlJc w:val="left"/>
      <w:pPr>
        <w:ind w:left="1320" w:hanging="360"/>
      </w:pPr>
    </w:lvl>
    <w:lvl w:ilvl="4" w:tplc="DCDA309A">
      <w:start w:val="1"/>
      <w:numFmt w:val="decimal"/>
      <w:lvlText w:val="%5."/>
      <w:lvlJc w:val="left"/>
      <w:pPr>
        <w:ind w:left="1320" w:hanging="360"/>
      </w:pPr>
    </w:lvl>
    <w:lvl w:ilvl="5" w:tplc="EC949108">
      <w:start w:val="1"/>
      <w:numFmt w:val="decimal"/>
      <w:lvlText w:val="%6."/>
      <w:lvlJc w:val="left"/>
      <w:pPr>
        <w:ind w:left="1320" w:hanging="360"/>
      </w:pPr>
    </w:lvl>
    <w:lvl w:ilvl="6" w:tplc="7BFE3A94">
      <w:start w:val="1"/>
      <w:numFmt w:val="decimal"/>
      <w:lvlText w:val="%7."/>
      <w:lvlJc w:val="left"/>
      <w:pPr>
        <w:ind w:left="1320" w:hanging="360"/>
      </w:pPr>
    </w:lvl>
    <w:lvl w:ilvl="7" w:tplc="95904446">
      <w:start w:val="1"/>
      <w:numFmt w:val="decimal"/>
      <w:lvlText w:val="%8."/>
      <w:lvlJc w:val="left"/>
      <w:pPr>
        <w:ind w:left="1320" w:hanging="360"/>
      </w:pPr>
    </w:lvl>
    <w:lvl w:ilvl="8" w:tplc="8DF4582C">
      <w:start w:val="1"/>
      <w:numFmt w:val="decimal"/>
      <w:lvlText w:val="%9."/>
      <w:lvlJc w:val="left"/>
      <w:pPr>
        <w:ind w:left="1320" w:hanging="360"/>
      </w:pPr>
    </w:lvl>
  </w:abstractNum>
  <w:abstractNum w:abstractNumId="56" w15:restartNumberingAfterBreak="0">
    <w:nsid w:val="6ED826BF"/>
    <w:multiLevelType w:val="hybridMultilevel"/>
    <w:tmpl w:val="685AB60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5E77516"/>
    <w:multiLevelType w:val="hybridMultilevel"/>
    <w:tmpl w:val="F552FDAA"/>
    <w:lvl w:ilvl="0" w:tplc="FF88BB8E">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6CA7A19"/>
    <w:multiLevelType w:val="hybridMultilevel"/>
    <w:tmpl w:val="C234016A"/>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59" w15:restartNumberingAfterBreak="0">
    <w:nsid w:val="79101D27"/>
    <w:multiLevelType w:val="hybridMultilevel"/>
    <w:tmpl w:val="1A382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9143F2E"/>
    <w:multiLevelType w:val="hybridMultilevel"/>
    <w:tmpl w:val="DA523A7A"/>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93A05ED"/>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CAD4ECC"/>
    <w:multiLevelType w:val="hybridMultilevel"/>
    <w:tmpl w:val="3896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E87634E"/>
    <w:multiLevelType w:val="hybridMultilevel"/>
    <w:tmpl w:val="066CB41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4" w15:restartNumberingAfterBreak="0">
    <w:nsid w:val="7FC040B4"/>
    <w:multiLevelType w:val="hybridMultilevel"/>
    <w:tmpl w:val="DBB070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8107072">
    <w:abstractNumId w:val="21"/>
  </w:num>
  <w:num w:numId="2" w16cid:durableId="1342589027">
    <w:abstractNumId w:val="6"/>
  </w:num>
  <w:num w:numId="3" w16cid:durableId="925647666">
    <w:abstractNumId w:val="7"/>
  </w:num>
  <w:num w:numId="4" w16cid:durableId="1456828091">
    <w:abstractNumId w:val="39"/>
  </w:num>
  <w:num w:numId="5" w16cid:durableId="1454713076">
    <w:abstractNumId w:val="61"/>
  </w:num>
  <w:num w:numId="6" w16cid:durableId="423889654">
    <w:abstractNumId w:val="20"/>
  </w:num>
  <w:num w:numId="7" w16cid:durableId="441461811">
    <w:abstractNumId w:val="51"/>
  </w:num>
  <w:num w:numId="8" w16cid:durableId="1944802948">
    <w:abstractNumId w:val="17"/>
  </w:num>
  <w:num w:numId="9" w16cid:durableId="1027484454">
    <w:abstractNumId w:val="24"/>
  </w:num>
  <w:num w:numId="10" w16cid:durableId="1929844612">
    <w:abstractNumId w:val="57"/>
  </w:num>
  <w:num w:numId="11" w16cid:durableId="444617330">
    <w:abstractNumId w:val="1"/>
  </w:num>
  <w:num w:numId="12" w16cid:durableId="956067117">
    <w:abstractNumId w:val="49"/>
  </w:num>
  <w:num w:numId="13" w16cid:durableId="459036023">
    <w:abstractNumId w:val="33"/>
  </w:num>
  <w:num w:numId="14" w16cid:durableId="175193608">
    <w:abstractNumId w:val="13"/>
  </w:num>
  <w:num w:numId="15" w16cid:durableId="1389065512">
    <w:abstractNumId w:val="9"/>
  </w:num>
  <w:num w:numId="16" w16cid:durableId="771366609">
    <w:abstractNumId w:val="2"/>
  </w:num>
  <w:num w:numId="17" w16cid:durableId="247228219">
    <w:abstractNumId w:val="40"/>
  </w:num>
  <w:num w:numId="18" w16cid:durableId="757555992">
    <w:abstractNumId w:val="34"/>
  </w:num>
  <w:num w:numId="19" w16cid:durableId="258569498">
    <w:abstractNumId w:val="16"/>
  </w:num>
  <w:num w:numId="20" w16cid:durableId="912659336">
    <w:abstractNumId w:val="26"/>
  </w:num>
  <w:num w:numId="21" w16cid:durableId="54745977">
    <w:abstractNumId w:val="52"/>
  </w:num>
  <w:num w:numId="22" w16cid:durableId="1419600765">
    <w:abstractNumId w:val="4"/>
  </w:num>
  <w:num w:numId="23" w16cid:durableId="1823234776">
    <w:abstractNumId w:val="18"/>
  </w:num>
  <w:num w:numId="24" w16cid:durableId="538056307">
    <w:abstractNumId w:val="60"/>
  </w:num>
  <w:num w:numId="25" w16cid:durableId="1231769915">
    <w:abstractNumId w:val="38"/>
  </w:num>
  <w:num w:numId="26" w16cid:durableId="1926375787">
    <w:abstractNumId w:val="36"/>
  </w:num>
  <w:num w:numId="27" w16cid:durableId="1082064991">
    <w:abstractNumId w:val="43"/>
  </w:num>
  <w:num w:numId="28" w16cid:durableId="971135163">
    <w:abstractNumId w:val="22"/>
  </w:num>
  <w:num w:numId="29" w16cid:durableId="745954745">
    <w:abstractNumId w:val="47"/>
  </w:num>
  <w:num w:numId="30" w16cid:durableId="2091196354">
    <w:abstractNumId w:val="25"/>
  </w:num>
  <w:num w:numId="31" w16cid:durableId="1774741293">
    <w:abstractNumId w:val="54"/>
  </w:num>
  <w:num w:numId="32" w16cid:durableId="1454514476">
    <w:abstractNumId w:val="50"/>
  </w:num>
  <w:num w:numId="33" w16cid:durableId="1333532702">
    <w:abstractNumId w:val="28"/>
  </w:num>
  <w:num w:numId="34" w16cid:durableId="1342463168">
    <w:abstractNumId w:val="46"/>
  </w:num>
  <w:num w:numId="35" w16cid:durableId="1852068408">
    <w:abstractNumId w:val="32"/>
  </w:num>
  <w:num w:numId="36" w16cid:durableId="1195801092">
    <w:abstractNumId w:val="31"/>
  </w:num>
  <w:num w:numId="37" w16cid:durableId="1849562672">
    <w:abstractNumId w:val="29"/>
  </w:num>
  <w:num w:numId="38" w16cid:durableId="220823442">
    <w:abstractNumId w:val="8"/>
  </w:num>
  <w:num w:numId="39" w16cid:durableId="286087064">
    <w:abstractNumId w:val="14"/>
  </w:num>
  <w:num w:numId="40" w16cid:durableId="2049642581">
    <w:abstractNumId w:val="64"/>
  </w:num>
  <w:num w:numId="41" w16cid:durableId="1518350231">
    <w:abstractNumId w:val="0"/>
  </w:num>
  <w:num w:numId="42" w16cid:durableId="1286424135">
    <w:abstractNumId w:val="19"/>
  </w:num>
  <w:num w:numId="43" w16cid:durableId="1434401423">
    <w:abstractNumId w:val="45"/>
  </w:num>
  <w:num w:numId="44" w16cid:durableId="418412010">
    <w:abstractNumId w:val="15"/>
  </w:num>
  <w:num w:numId="45" w16cid:durableId="608508743">
    <w:abstractNumId w:val="12"/>
  </w:num>
  <w:num w:numId="46" w16cid:durableId="539512148">
    <w:abstractNumId w:val="44"/>
  </w:num>
  <w:num w:numId="47" w16cid:durableId="746457748">
    <w:abstractNumId w:val="62"/>
  </w:num>
  <w:num w:numId="48" w16cid:durableId="423919026">
    <w:abstractNumId w:val="53"/>
  </w:num>
  <w:num w:numId="49" w16cid:durableId="910693685">
    <w:abstractNumId w:val="27"/>
  </w:num>
  <w:num w:numId="50" w16cid:durableId="2140878216">
    <w:abstractNumId w:val="11"/>
  </w:num>
  <w:num w:numId="51" w16cid:durableId="67044873">
    <w:abstractNumId w:val="3"/>
  </w:num>
  <w:num w:numId="52" w16cid:durableId="272636859">
    <w:abstractNumId w:val="55"/>
  </w:num>
  <w:num w:numId="53" w16cid:durableId="317462938">
    <w:abstractNumId w:val="48"/>
  </w:num>
  <w:num w:numId="54" w16cid:durableId="1867017125">
    <w:abstractNumId w:val="37"/>
  </w:num>
  <w:num w:numId="55" w16cid:durableId="629701858">
    <w:abstractNumId w:val="42"/>
  </w:num>
  <w:num w:numId="56" w16cid:durableId="482501870">
    <w:abstractNumId w:val="30"/>
  </w:num>
  <w:num w:numId="57" w16cid:durableId="1926647791">
    <w:abstractNumId w:val="23"/>
  </w:num>
  <w:num w:numId="58" w16cid:durableId="434831448">
    <w:abstractNumId w:val="4"/>
  </w:num>
  <w:num w:numId="59" w16cid:durableId="703529719">
    <w:abstractNumId w:val="4"/>
  </w:num>
  <w:num w:numId="60" w16cid:durableId="764807064">
    <w:abstractNumId w:val="59"/>
  </w:num>
  <w:num w:numId="61" w16cid:durableId="669410060">
    <w:abstractNumId w:val="4"/>
  </w:num>
  <w:num w:numId="62" w16cid:durableId="988170037">
    <w:abstractNumId w:val="63"/>
  </w:num>
  <w:num w:numId="63" w16cid:durableId="1298948315">
    <w:abstractNumId w:val="58"/>
  </w:num>
  <w:num w:numId="64" w16cid:durableId="915630851">
    <w:abstractNumId w:val="10"/>
  </w:num>
  <w:num w:numId="65" w16cid:durableId="2096314913">
    <w:abstractNumId w:val="41"/>
  </w:num>
  <w:num w:numId="66" w16cid:durableId="251477136">
    <w:abstractNumId w:val="5"/>
  </w:num>
  <w:num w:numId="67" w16cid:durableId="1565067293">
    <w:abstractNumId w:val="4"/>
    <w:lvlOverride w:ilvl="0">
      <w:startOverride w:val="3"/>
    </w:lvlOverride>
  </w:num>
  <w:num w:numId="68" w16cid:durableId="32776088">
    <w:abstractNumId w:val="35"/>
  </w:num>
  <w:num w:numId="69" w16cid:durableId="22369901">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174"/>
    <w:rsid w:val="00001BE7"/>
    <w:rsid w:val="0000280F"/>
    <w:rsid w:val="0000314E"/>
    <w:rsid w:val="000057B7"/>
    <w:rsid w:val="00011DBE"/>
    <w:rsid w:val="00015AC1"/>
    <w:rsid w:val="00016D1D"/>
    <w:rsid w:val="000210B9"/>
    <w:rsid w:val="00022B45"/>
    <w:rsid w:val="00022E98"/>
    <w:rsid w:val="00023C17"/>
    <w:rsid w:val="00025528"/>
    <w:rsid w:val="00031DEB"/>
    <w:rsid w:val="00036F9E"/>
    <w:rsid w:val="00041A6B"/>
    <w:rsid w:val="00041CD7"/>
    <w:rsid w:val="000504C7"/>
    <w:rsid w:val="00051CE9"/>
    <w:rsid w:val="000533FC"/>
    <w:rsid w:val="00055DD1"/>
    <w:rsid w:val="00056B9C"/>
    <w:rsid w:val="00061480"/>
    <w:rsid w:val="00061714"/>
    <w:rsid w:val="00062100"/>
    <w:rsid w:val="000651C3"/>
    <w:rsid w:val="0006629D"/>
    <w:rsid w:val="00072BA6"/>
    <w:rsid w:val="000730AD"/>
    <w:rsid w:val="00074034"/>
    <w:rsid w:val="000768AD"/>
    <w:rsid w:val="000777BD"/>
    <w:rsid w:val="0008535A"/>
    <w:rsid w:val="00087A25"/>
    <w:rsid w:val="00091FEE"/>
    <w:rsid w:val="00092C25"/>
    <w:rsid w:val="00095F8E"/>
    <w:rsid w:val="000A06D9"/>
    <w:rsid w:val="000A1C1B"/>
    <w:rsid w:val="000A32C2"/>
    <w:rsid w:val="000A6271"/>
    <w:rsid w:val="000A7D10"/>
    <w:rsid w:val="000B0637"/>
    <w:rsid w:val="000B1F9D"/>
    <w:rsid w:val="000B4A76"/>
    <w:rsid w:val="000C053F"/>
    <w:rsid w:val="000C4822"/>
    <w:rsid w:val="000C4865"/>
    <w:rsid w:val="000C61E2"/>
    <w:rsid w:val="000D15F0"/>
    <w:rsid w:val="000D2412"/>
    <w:rsid w:val="000D3A38"/>
    <w:rsid w:val="000D69D9"/>
    <w:rsid w:val="000E62E2"/>
    <w:rsid w:val="000F0D81"/>
    <w:rsid w:val="000F144D"/>
    <w:rsid w:val="001019E2"/>
    <w:rsid w:val="00106D52"/>
    <w:rsid w:val="00110CC6"/>
    <w:rsid w:val="00112073"/>
    <w:rsid w:val="00113FD8"/>
    <w:rsid w:val="001149C5"/>
    <w:rsid w:val="00115C78"/>
    <w:rsid w:val="00115F5F"/>
    <w:rsid w:val="00120963"/>
    <w:rsid w:val="00125134"/>
    <w:rsid w:val="00127855"/>
    <w:rsid w:val="00130E1B"/>
    <w:rsid w:val="00131548"/>
    <w:rsid w:val="00133635"/>
    <w:rsid w:val="00142080"/>
    <w:rsid w:val="00150E2B"/>
    <w:rsid w:val="00156C6E"/>
    <w:rsid w:val="001578DE"/>
    <w:rsid w:val="001604CD"/>
    <w:rsid w:val="0016267E"/>
    <w:rsid w:val="00167DCE"/>
    <w:rsid w:val="00172A5C"/>
    <w:rsid w:val="00173FDE"/>
    <w:rsid w:val="001758CC"/>
    <w:rsid w:val="00177BE7"/>
    <w:rsid w:val="0018181A"/>
    <w:rsid w:val="00181EF9"/>
    <w:rsid w:val="00184995"/>
    <w:rsid w:val="001861FB"/>
    <w:rsid w:val="00194C4E"/>
    <w:rsid w:val="00195AFC"/>
    <w:rsid w:val="001A2E87"/>
    <w:rsid w:val="001A31A0"/>
    <w:rsid w:val="001A48DD"/>
    <w:rsid w:val="001A612D"/>
    <w:rsid w:val="001B4C92"/>
    <w:rsid w:val="001C3D6B"/>
    <w:rsid w:val="001C53CE"/>
    <w:rsid w:val="001D4C60"/>
    <w:rsid w:val="001F135E"/>
    <w:rsid w:val="001F37B9"/>
    <w:rsid w:val="001F61CF"/>
    <w:rsid w:val="001F7295"/>
    <w:rsid w:val="0020016D"/>
    <w:rsid w:val="00200CA2"/>
    <w:rsid w:val="00203749"/>
    <w:rsid w:val="0020438A"/>
    <w:rsid w:val="00205B4B"/>
    <w:rsid w:val="00206288"/>
    <w:rsid w:val="00211141"/>
    <w:rsid w:val="0021117E"/>
    <w:rsid w:val="00214D5D"/>
    <w:rsid w:val="00215927"/>
    <w:rsid w:val="002174AA"/>
    <w:rsid w:val="00217E05"/>
    <w:rsid w:val="002203B6"/>
    <w:rsid w:val="0022125D"/>
    <w:rsid w:val="002228B9"/>
    <w:rsid w:val="0022371A"/>
    <w:rsid w:val="00224503"/>
    <w:rsid w:val="00230AB1"/>
    <w:rsid w:val="0023435C"/>
    <w:rsid w:val="00235A6B"/>
    <w:rsid w:val="00237957"/>
    <w:rsid w:val="00237C47"/>
    <w:rsid w:val="00240909"/>
    <w:rsid w:val="00240B19"/>
    <w:rsid w:val="00241A55"/>
    <w:rsid w:val="00242517"/>
    <w:rsid w:val="00242A1F"/>
    <w:rsid w:val="0024329F"/>
    <w:rsid w:val="00246CAC"/>
    <w:rsid w:val="00247192"/>
    <w:rsid w:val="00247A45"/>
    <w:rsid w:val="0025097C"/>
    <w:rsid w:val="00252719"/>
    <w:rsid w:val="00254FC1"/>
    <w:rsid w:val="00255329"/>
    <w:rsid w:val="00256912"/>
    <w:rsid w:val="00257ABC"/>
    <w:rsid w:val="002601EF"/>
    <w:rsid w:val="002605CF"/>
    <w:rsid w:val="002623FC"/>
    <w:rsid w:val="00262855"/>
    <w:rsid w:val="002643C0"/>
    <w:rsid w:val="002657F2"/>
    <w:rsid w:val="002708A0"/>
    <w:rsid w:val="002728B7"/>
    <w:rsid w:val="00273CAB"/>
    <w:rsid w:val="002749BC"/>
    <w:rsid w:val="002751F4"/>
    <w:rsid w:val="00277E22"/>
    <w:rsid w:val="00280F6B"/>
    <w:rsid w:val="0028130E"/>
    <w:rsid w:val="00287818"/>
    <w:rsid w:val="002910FE"/>
    <w:rsid w:val="0029732B"/>
    <w:rsid w:val="00297560"/>
    <w:rsid w:val="00297876"/>
    <w:rsid w:val="002A1673"/>
    <w:rsid w:val="002A2FF8"/>
    <w:rsid w:val="002A43BC"/>
    <w:rsid w:val="002A53DB"/>
    <w:rsid w:val="002A6098"/>
    <w:rsid w:val="002A70B9"/>
    <w:rsid w:val="002A7938"/>
    <w:rsid w:val="002B21E6"/>
    <w:rsid w:val="002B29B1"/>
    <w:rsid w:val="002B2C99"/>
    <w:rsid w:val="002B4425"/>
    <w:rsid w:val="002B5BDF"/>
    <w:rsid w:val="002B6639"/>
    <w:rsid w:val="002C0728"/>
    <w:rsid w:val="002C3730"/>
    <w:rsid w:val="002C7F68"/>
    <w:rsid w:val="002D2DF7"/>
    <w:rsid w:val="002D59A1"/>
    <w:rsid w:val="002D7BBE"/>
    <w:rsid w:val="002D7DE8"/>
    <w:rsid w:val="002E21F1"/>
    <w:rsid w:val="002E583F"/>
    <w:rsid w:val="002F14E4"/>
    <w:rsid w:val="002F27DB"/>
    <w:rsid w:val="002F3328"/>
    <w:rsid w:val="002F3A85"/>
    <w:rsid w:val="002F54DC"/>
    <w:rsid w:val="002F6438"/>
    <w:rsid w:val="002F6479"/>
    <w:rsid w:val="002F70AA"/>
    <w:rsid w:val="0030199C"/>
    <w:rsid w:val="00301D4A"/>
    <w:rsid w:val="0030449C"/>
    <w:rsid w:val="00304B7C"/>
    <w:rsid w:val="00307C04"/>
    <w:rsid w:val="00311D75"/>
    <w:rsid w:val="003122C9"/>
    <w:rsid w:val="00314366"/>
    <w:rsid w:val="00316494"/>
    <w:rsid w:val="00320244"/>
    <w:rsid w:val="00320677"/>
    <w:rsid w:val="00322503"/>
    <w:rsid w:val="003242B4"/>
    <w:rsid w:val="003244EC"/>
    <w:rsid w:val="00330714"/>
    <w:rsid w:val="00336078"/>
    <w:rsid w:val="00340862"/>
    <w:rsid w:val="00341715"/>
    <w:rsid w:val="00343B3A"/>
    <w:rsid w:val="00343EFD"/>
    <w:rsid w:val="00343F77"/>
    <w:rsid w:val="00345759"/>
    <w:rsid w:val="003457CF"/>
    <w:rsid w:val="00365FB8"/>
    <w:rsid w:val="00366EE1"/>
    <w:rsid w:val="0037138C"/>
    <w:rsid w:val="003714C7"/>
    <w:rsid w:val="00373269"/>
    <w:rsid w:val="003774C3"/>
    <w:rsid w:val="003811D3"/>
    <w:rsid w:val="00381297"/>
    <w:rsid w:val="003839FD"/>
    <w:rsid w:val="00393403"/>
    <w:rsid w:val="00393C57"/>
    <w:rsid w:val="0039422C"/>
    <w:rsid w:val="00395755"/>
    <w:rsid w:val="00397160"/>
    <w:rsid w:val="00397B94"/>
    <w:rsid w:val="003A089E"/>
    <w:rsid w:val="003A167D"/>
    <w:rsid w:val="003A1EE8"/>
    <w:rsid w:val="003A26CA"/>
    <w:rsid w:val="003A2A9B"/>
    <w:rsid w:val="003A422A"/>
    <w:rsid w:val="003A4ED3"/>
    <w:rsid w:val="003A54F8"/>
    <w:rsid w:val="003B01E3"/>
    <w:rsid w:val="003B0331"/>
    <w:rsid w:val="003B7BB0"/>
    <w:rsid w:val="003B7F02"/>
    <w:rsid w:val="003C03D1"/>
    <w:rsid w:val="003C1489"/>
    <w:rsid w:val="003C3203"/>
    <w:rsid w:val="003C35F3"/>
    <w:rsid w:val="003C3CF7"/>
    <w:rsid w:val="003C4389"/>
    <w:rsid w:val="003C6758"/>
    <w:rsid w:val="003C67CE"/>
    <w:rsid w:val="003C6DD3"/>
    <w:rsid w:val="003D268B"/>
    <w:rsid w:val="003D4014"/>
    <w:rsid w:val="003E1F4A"/>
    <w:rsid w:val="003E3A80"/>
    <w:rsid w:val="003E3BE0"/>
    <w:rsid w:val="003E6AE7"/>
    <w:rsid w:val="003E7B27"/>
    <w:rsid w:val="003F0883"/>
    <w:rsid w:val="003F2ACD"/>
    <w:rsid w:val="003F5ABE"/>
    <w:rsid w:val="003F7DB0"/>
    <w:rsid w:val="003F7DD3"/>
    <w:rsid w:val="00403945"/>
    <w:rsid w:val="00403C35"/>
    <w:rsid w:val="0040624B"/>
    <w:rsid w:val="00406559"/>
    <w:rsid w:val="00407569"/>
    <w:rsid w:val="00411984"/>
    <w:rsid w:val="00411D26"/>
    <w:rsid w:val="00412A1D"/>
    <w:rsid w:val="00414103"/>
    <w:rsid w:val="00414A35"/>
    <w:rsid w:val="00415DFC"/>
    <w:rsid w:val="004164E0"/>
    <w:rsid w:val="00416E0D"/>
    <w:rsid w:val="00420347"/>
    <w:rsid w:val="00422B68"/>
    <w:rsid w:val="00427230"/>
    <w:rsid w:val="00434208"/>
    <w:rsid w:val="00443862"/>
    <w:rsid w:val="00445024"/>
    <w:rsid w:val="00450E97"/>
    <w:rsid w:val="0045316B"/>
    <w:rsid w:val="00455362"/>
    <w:rsid w:val="004560BA"/>
    <w:rsid w:val="004575B7"/>
    <w:rsid w:val="00460772"/>
    <w:rsid w:val="00461100"/>
    <w:rsid w:val="00461EB1"/>
    <w:rsid w:val="00466CA0"/>
    <w:rsid w:val="004670AC"/>
    <w:rsid w:val="00472418"/>
    <w:rsid w:val="00472E73"/>
    <w:rsid w:val="00473050"/>
    <w:rsid w:val="0047336E"/>
    <w:rsid w:val="0047416F"/>
    <w:rsid w:val="0047630C"/>
    <w:rsid w:val="00477965"/>
    <w:rsid w:val="00482B08"/>
    <w:rsid w:val="00495A02"/>
    <w:rsid w:val="004A2108"/>
    <w:rsid w:val="004A2E3A"/>
    <w:rsid w:val="004B00B2"/>
    <w:rsid w:val="004B6A8D"/>
    <w:rsid w:val="004C0188"/>
    <w:rsid w:val="004C2707"/>
    <w:rsid w:val="004C4AF1"/>
    <w:rsid w:val="004C5489"/>
    <w:rsid w:val="004C650C"/>
    <w:rsid w:val="004D0616"/>
    <w:rsid w:val="004D1093"/>
    <w:rsid w:val="004D13DB"/>
    <w:rsid w:val="004D2CCE"/>
    <w:rsid w:val="004D40F4"/>
    <w:rsid w:val="004D562D"/>
    <w:rsid w:val="004D6A3A"/>
    <w:rsid w:val="004E1719"/>
    <w:rsid w:val="004E39C8"/>
    <w:rsid w:val="004F009D"/>
    <w:rsid w:val="004F0A90"/>
    <w:rsid w:val="004F390E"/>
    <w:rsid w:val="004F39A5"/>
    <w:rsid w:val="004F3B0D"/>
    <w:rsid w:val="005006C9"/>
    <w:rsid w:val="00500A90"/>
    <w:rsid w:val="00510D9B"/>
    <w:rsid w:val="00511B8A"/>
    <w:rsid w:val="005126F3"/>
    <w:rsid w:val="005133B5"/>
    <w:rsid w:val="0051445D"/>
    <w:rsid w:val="00515184"/>
    <w:rsid w:val="0052148F"/>
    <w:rsid w:val="005221C7"/>
    <w:rsid w:val="00525209"/>
    <w:rsid w:val="00525FDD"/>
    <w:rsid w:val="00530111"/>
    <w:rsid w:val="00530A86"/>
    <w:rsid w:val="0053D69B"/>
    <w:rsid w:val="0054127E"/>
    <w:rsid w:val="005416F7"/>
    <w:rsid w:val="005455E8"/>
    <w:rsid w:val="0054741F"/>
    <w:rsid w:val="0055071C"/>
    <w:rsid w:val="00552361"/>
    <w:rsid w:val="005524F1"/>
    <w:rsid w:val="00552ABB"/>
    <w:rsid w:val="00552C9E"/>
    <w:rsid w:val="00555690"/>
    <w:rsid w:val="0055688E"/>
    <w:rsid w:val="00557FA8"/>
    <w:rsid w:val="00562266"/>
    <w:rsid w:val="00565E57"/>
    <w:rsid w:val="00570614"/>
    <w:rsid w:val="00571310"/>
    <w:rsid w:val="00572FFF"/>
    <w:rsid w:val="0058324F"/>
    <w:rsid w:val="00586F09"/>
    <w:rsid w:val="00590B62"/>
    <w:rsid w:val="0059112E"/>
    <w:rsid w:val="005921C1"/>
    <w:rsid w:val="00593B3C"/>
    <w:rsid w:val="0059421C"/>
    <w:rsid w:val="00594491"/>
    <w:rsid w:val="00597380"/>
    <w:rsid w:val="005A54B5"/>
    <w:rsid w:val="005A7CCA"/>
    <w:rsid w:val="005B4205"/>
    <w:rsid w:val="005B5369"/>
    <w:rsid w:val="005C002D"/>
    <w:rsid w:val="005C0A57"/>
    <w:rsid w:val="005C44B5"/>
    <w:rsid w:val="005C46DE"/>
    <w:rsid w:val="005C5789"/>
    <w:rsid w:val="005D2323"/>
    <w:rsid w:val="005D4848"/>
    <w:rsid w:val="005E0440"/>
    <w:rsid w:val="005E3510"/>
    <w:rsid w:val="005F0D9B"/>
    <w:rsid w:val="005F2698"/>
    <w:rsid w:val="005F403D"/>
    <w:rsid w:val="00600FA0"/>
    <w:rsid w:val="006057BF"/>
    <w:rsid w:val="006105C7"/>
    <w:rsid w:val="0061197E"/>
    <w:rsid w:val="00612258"/>
    <w:rsid w:val="00617FBB"/>
    <w:rsid w:val="00620867"/>
    <w:rsid w:val="00621ADC"/>
    <w:rsid w:val="0062772D"/>
    <w:rsid w:val="00627D17"/>
    <w:rsid w:val="006305DF"/>
    <w:rsid w:val="00632BE9"/>
    <w:rsid w:val="0063477F"/>
    <w:rsid w:val="00636743"/>
    <w:rsid w:val="0063717A"/>
    <w:rsid w:val="00641F4E"/>
    <w:rsid w:val="00642214"/>
    <w:rsid w:val="0064321B"/>
    <w:rsid w:val="0064612F"/>
    <w:rsid w:val="00646595"/>
    <w:rsid w:val="0064768B"/>
    <w:rsid w:val="0065080B"/>
    <w:rsid w:val="00651D91"/>
    <w:rsid w:val="00654B55"/>
    <w:rsid w:val="006574A1"/>
    <w:rsid w:val="006617C2"/>
    <w:rsid w:val="006631B0"/>
    <w:rsid w:val="0066337D"/>
    <w:rsid w:val="00665571"/>
    <w:rsid w:val="00667A94"/>
    <w:rsid w:val="00670A5A"/>
    <w:rsid w:val="0067428A"/>
    <w:rsid w:val="006757A2"/>
    <w:rsid w:val="0068002B"/>
    <w:rsid w:val="006818FE"/>
    <w:rsid w:val="00681CFB"/>
    <w:rsid w:val="00681E63"/>
    <w:rsid w:val="00682C36"/>
    <w:rsid w:val="006843DC"/>
    <w:rsid w:val="006852BA"/>
    <w:rsid w:val="00685BC1"/>
    <w:rsid w:val="00686AEE"/>
    <w:rsid w:val="00695216"/>
    <w:rsid w:val="006959AC"/>
    <w:rsid w:val="0069745A"/>
    <w:rsid w:val="006A30A2"/>
    <w:rsid w:val="006A33BF"/>
    <w:rsid w:val="006A4623"/>
    <w:rsid w:val="006A570C"/>
    <w:rsid w:val="006A6AC5"/>
    <w:rsid w:val="006A7580"/>
    <w:rsid w:val="006B4AD7"/>
    <w:rsid w:val="006B4C8F"/>
    <w:rsid w:val="006C13D9"/>
    <w:rsid w:val="006C2162"/>
    <w:rsid w:val="006C245F"/>
    <w:rsid w:val="006C439E"/>
    <w:rsid w:val="006C70C8"/>
    <w:rsid w:val="006C70C9"/>
    <w:rsid w:val="006C7244"/>
    <w:rsid w:val="006C7535"/>
    <w:rsid w:val="006C7742"/>
    <w:rsid w:val="006D392F"/>
    <w:rsid w:val="006D4CE7"/>
    <w:rsid w:val="006D6846"/>
    <w:rsid w:val="006D68A5"/>
    <w:rsid w:val="006E017E"/>
    <w:rsid w:val="006E438D"/>
    <w:rsid w:val="006E66AB"/>
    <w:rsid w:val="006E7DB9"/>
    <w:rsid w:val="006F0A11"/>
    <w:rsid w:val="006F138D"/>
    <w:rsid w:val="006F3490"/>
    <w:rsid w:val="006F4B00"/>
    <w:rsid w:val="006F57ED"/>
    <w:rsid w:val="006F6F33"/>
    <w:rsid w:val="00705AF6"/>
    <w:rsid w:val="00705FA7"/>
    <w:rsid w:val="0071797F"/>
    <w:rsid w:val="007231D6"/>
    <w:rsid w:val="00723D22"/>
    <w:rsid w:val="0072456A"/>
    <w:rsid w:val="007257EF"/>
    <w:rsid w:val="00725991"/>
    <w:rsid w:val="00727D1A"/>
    <w:rsid w:val="007330CB"/>
    <w:rsid w:val="00736A67"/>
    <w:rsid w:val="007455A6"/>
    <w:rsid w:val="007476C3"/>
    <w:rsid w:val="00753C73"/>
    <w:rsid w:val="0075528E"/>
    <w:rsid w:val="00756C38"/>
    <w:rsid w:val="007606F4"/>
    <w:rsid w:val="0077096D"/>
    <w:rsid w:val="007719AA"/>
    <w:rsid w:val="00776157"/>
    <w:rsid w:val="0077732B"/>
    <w:rsid w:val="00780049"/>
    <w:rsid w:val="00780759"/>
    <w:rsid w:val="00780E24"/>
    <w:rsid w:val="00787E25"/>
    <w:rsid w:val="007907A6"/>
    <w:rsid w:val="00791775"/>
    <w:rsid w:val="007A5629"/>
    <w:rsid w:val="007A624D"/>
    <w:rsid w:val="007A71CD"/>
    <w:rsid w:val="007A73A4"/>
    <w:rsid w:val="007A7421"/>
    <w:rsid w:val="007B565C"/>
    <w:rsid w:val="007B5DEC"/>
    <w:rsid w:val="007C2E2B"/>
    <w:rsid w:val="007C34CD"/>
    <w:rsid w:val="007C376E"/>
    <w:rsid w:val="007C4C04"/>
    <w:rsid w:val="007D2423"/>
    <w:rsid w:val="007D246C"/>
    <w:rsid w:val="007D55ED"/>
    <w:rsid w:val="007D64E7"/>
    <w:rsid w:val="007E3647"/>
    <w:rsid w:val="007F013B"/>
    <w:rsid w:val="007F0EA4"/>
    <w:rsid w:val="007F136C"/>
    <w:rsid w:val="007F269C"/>
    <w:rsid w:val="007F52F9"/>
    <w:rsid w:val="007F696C"/>
    <w:rsid w:val="007F6E55"/>
    <w:rsid w:val="008002E1"/>
    <w:rsid w:val="00800559"/>
    <w:rsid w:val="00802596"/>
    <w:rsid w:val="00806E53"/>
    <w:rsid w:val="0080793D"/>
    <w:rsid w:val="00807DEB"/>
    <w:rsid w:val="0081177A"/>
    <w:rsid w:val="00812175"/>
    <w:rsid w:val="00821B9B"/>
    <w:rsid w:val="008306E6"/>
    <w:rsid w:val="008315A6"/>
    <w:rsid w:val="00840476"/>
    <w:rsid w:val="00841DD7"/>
    <w:rsid w:val="0084206C"/>
    <w:rsid w:val="00843229"/>
    <w:rsid w:val="0084699C"/>
    <w:rsid w:val="008521C4"/>
    <w:rsid w:val="00853C4E"/>
    <w:rsid w:val="00855347"/>
    <w:rsid w:val="0085563A"/>
    <w:rsid w:val="00860105"/>
    <w:rsid w:val="008613C3"/>
    <w:rsid w:val="00861ED7"/>
    <w:rsid w:val="0086462E"/>
    <w:rsid w:val="008705B0"/>
    <w:rsid w:val="00873811"/>
    <w:rsid w:val="00875B05"/>
    <w:rsid w:val="008803FA"/>
    <w:rsid w:val="00880F89"/>
    <w:rsid w:val="008850EC"/>
    <w:rsid w:val="00893A52"/>
    <w:rsid w:val="00894134"/>
    <w:rsid w:val="00895766"/>
    <w:rsid w:val="00896E4C"/>
    <w:rsid w:val="00897341"/>
    <w:rsid w:val="008A44C1"/>
    <w:rsid w:val="008A7449"/>
    <w:rsid w:val="008A7F64"/>
    <w:rsid w:val="008B3B98"/>
    <w:rsid w:val="008B3D5C"/>
    <w:rsid w:val="008C230D"/>
    <w:rsid w:val="008C4C1A"/>
    <w:rsid w:val="008C5D2F"/>
    <w:rsid w:val="008C677A"/>
    <w:rsid w:val="008C76FC"/>
    <w:rsid w:val="008D343D"/>
    <w:rsid w:val="008D3A66"/>
    <w:rsid w:val="008E0181"/>
    <w:rsid w:val="008E031F"/>
    <w:rsid w:val="008E0ADB"/>
    <w:rsid w:val="008E268D"/>
    <w:rsid w:val="008E459E"/>
    <w:rsid w:val="008E46B0"/>
    <w:rsid w:val="008F11D4"/>
    <w:rsid w:val="008F1518"/>
    <w:rsid w:val="008F3C61"/>
    <w:rsid w:val="008F49B4"/>
    <w:rsid w:val="008F60F2"/>
    <w:rsid w:val="008F6DFB"/>
    <w:rsid w:val="00907110"/>
    <w:rsid w:val="0090775C"/>
    <w:rsid w:val="00907B5C"/>
    <w:rsid w:val="009134C1"/>
    <w:rsid w:val="00915559"/>
    <w:rsid w:val="0092072F"/>
    <w:rsid w:val="009245E0"/>
    <w:rsid w:val="009247E3"/>
    <w:rsid w:val="009276C8"/>
    <w:rsid w:val="0093101C"/>
    <w:rsid w:val="009334E5"/>
    <w:rsid w:val="0094257F"/>
    <w:rsid w:val="00942925"/>
    <w:rsid w:val="00945756"/>
    <w:rsid w:val="00952FF1"/>
    <w:rsid w:val="009535AD"/>
    <w:rsid w:val="0095393D"/>
    <w:rsid w:val="00955BA2"/>
    <w:rsid w:val="00962889"/>
    <w:rsid w:val="00962B8B"/>
    <w:rsid w:val="00963865"/>
    <w:rsid w:val="00966974"/>
    <w:rsid w:val="00970796"/>
    <w:rsid w:val="00972D1C"/>
    <w:rsid w:val="00972D72"/>
    <w:rsid w:val="00974764"/>
    <w:rsid w:val="0098714F"/>
    <w:rsid w:val="0098722C"/>
    <w:rsid w:val="00991731"/>
    <w:rsid w:val="00992EF5"/>
    <w:rsid w:val="009952E3"/>
    <w:rsid w:val="00996E5E"/>
    <w:rsid w:val="0099782B"/>
    <w:rsid w:val="00997FC1"/>
    <w:rsid w:val="009A1401"/>
    <w:rsid w:val="009A3D07"/>
    <w:rsid w:val="009A4A1E"/>
    <w:rsid w:val="009A6B23"/>
    <w:rsid w:val="009B6646"/>
    <w:rsid w:val="009B677D"/>
    <w:rsid w:val="009C17DA"/>
    <w:rsid w:val="009C369E"/>
    <w:rsid w:val="009C48A6"/>
    <w:rsid w:val="009C5B6E"/>
    <w:rsid w:val="009D0AE8"/>
    <w:rsid w:val="009D1BC1"/>
    <w:rsid w:val="009D2695"/>
    <w:rsid w:val="009D288B"/>
    <w:rsid w:val="009D2915"/>
    <w:rsid w:val="009D29E6"/>
    <w:rsid w:val="009D42AA"/>
    <w:rsid w:val="009D580D"/>
    <w:rsid w:val="009D71AB"/>
    <w:rsid w:val="009E241C"/>
    <w:rsid w:val="009E2D3F"/>
    <w:rsid w:val="009E4437"/>
    <w:rsid w:val="009E7082"/>
    <w:rsid w:val="009F04C7"/>
    <w:rsid w:val="009F66BB"/>
    <w:rsid w:val="009F681C"/>
    <w:rsid w:val="00A0270A"/>
    <w:rsid w:val="00A02C97"/>
    <w:rsid w:val="00A03BAB"/>
    <w:rsid w:val="00A04CA7"/>
    <w:rsid w:val="00A05384"/>
    <w:rsid w:val="00A109FB"/>
    <w:rsid w:val="00A1141A"/>
    <w:rsid w:val="00A11624"/>
    <w:rsid w:val="00A14957"/>
    <w:rsid w:val="00A16357"/>
    <w:rsid w:val="00A21EE7"/>
    <w:rsid w:val="00A24E05"/>
    <w:rsid w:val="00A31F7F"/>
    <w:rsid w:val="00A3411A"/>
    <w:rsid w:val="00A41A62"/>
    <w:rsid w:val="00A463F3"/>
    <w:rsid w:val="00A470ED"/>
    <w:rsid w:val="00A47DF6"/>
    <w:rsid w:val="00A500B0"/>
    <w:rsid w:val="00A53619"/>
    <w:rsid w:val="00A57EA9"/>
    <w:rsid w:val="00A66430"/>
    <w:rsid w:val="00A66623"/>
    <w:rsid w:val="00A66B63"/>
    <w:rsid w:val="00A66ED9"/>
    <w:rsid w:val="00A677BB"/>
    <w:rsid w:val="00A67E0D"/>
    <w:rsid w:val="00A76E0E"/>
    <w:rsid w:val="00A80231"/>
    <w:rsid w:val="00A811A9"/>
    <w:rsid w:val="00A8254E"/>
    <w:rsid w:val="00A82D8A"/>
    <w:rsid w:val="00A84418"/>
    <w:rsid w:val="00A85D15"/>
    <w:rsid w:val="00A85D22"/>
    <w:rsid w:val="00A8673F"/>
    <w:rsid w:val="00A90CBB"/>
    <w:rsid w:val="00A923D9"/>
    <w:rsid w:val="00A92F44"/>
    <w:rsid w:val="00A973EE"/>
    <w:rsid w:val="00AA06D3"/>
    <w:rsid w:val="00AA0BB8"/>
    <w:rsid w:val="00AA3224"/>
    <w:rsid w:val="00AA3352"/>
    <w:rsid w:val="00AA384B"/>
    <w:rsid w:val="00AA3CDA"/>
    <w:rsid w:val="00AA4450"/>
    <w:rsid w:val="00AA4A18"/>
    <w:rsid w:val="00AB00ED"/>
    <w:rsid w:val="00AB178B"/>
    <w:rsid w:val="00AB5C12"/>
    <w:rsid w:val="00AB7EDA"/>
    <w:rsid w:val="00AC35C5"/>
    <w:rsid w:val="00AC38E6"/>
    <w:rsid w:val="00AC52BA"/>
    <w:rsid w:val="00AE2FA6"/>
    <w:rsid w:val="00AE42A7"/>
    <w:rsid w:val="00AF7315"/>
    <w:rsid w:val="00B02E1D"/>
    <w:rsid w:val="00B03CB5"/>
    <w:rsid w:val="00B045D6"/>
    <w:rsid w:val="00B13A52"/>
    <w:rsid w:val="00B13BA0"/>
    <w:rsid w:val="00B1600C"/>
    <w:rsid w:val="00B163C3"/>
    <w:rsid w:val="00B165C0"/>
    <w:rsid w:val="00B167B1"/>
    <w:rsid w:val="00B26DBE"/>
    <w:rsid w:val="00B27576"/>
    <w:rsid w:val="00B27656"/>
    <w:rsid w:val="00B31963"/>
    <w:rsid w:val="00B32A81"/>
    <w:rsid w:val="00B36093"/>
    <w:rsid w:val="00B37002"/>
    <w:rsid w:val="00B37906"/>
    <w:rsid w:val="00B416AA"/>
    <w:rsid w:val="00B418AB"/>
    <w:rsid w:val="00B42CC6"/>
    <w:rsid w:val="00B42EDE"/>
    <w:rsid w:val="00B43887"/>
    <w:rsid w:val="00B4617E"/>
    <w:rsid w:val="00B516E2"/>
    <w:rsid w:val="00B572C6"/>
    <w:rsid w:val="00B60857"/>
    <w:rsid w:val="00B61700"/>
    <w:rsid w:val="00B65083"/>
    <w:rsid w:val="00B66B67"/>
    <w:rsid w:val="00B70209"/>
    <w:rsid w:val="00B70885"/>
    <w:rsid w:val="00B7104F"/>
    <w:rsid w:val="00B73AED"/>
    <w:rsid w:val="00B7435E"/>
    <w:rsid w:val="00B74AF0"/>
    <w:rsid w:val="00B74C6E"/>
    <w:rsid w:val="00B77781"/>
    <w:rsid w:val="00B82E3F"/>
    <w:rsid w:val="00B8766F"/>
    <w:rsid w:val="00B9037F"/>
    <w:rsid w:val="00B9291F"/>
    <w:rsid w:val="00B9317F"/>
    <w:rsid w:val="00B96891"/>
    <w:rsid w:val="00BA4717"/>
    <w:rsid w:val="00BA58CA"/>
    <w:rsid w:val="00BA776E"/>
    <w:rsid w:val="00BB4F66"/>
    <w:rsid w:val="00BC1112"/>
    <w:rsid w:val="00BC1EDF"/>
    <w:rsid w:val="00BC609E"/>
    <w:rsid w:val="00BC76DE"/>
    <w:rsid w:val="00BD024F"/>
    <w:rsid w:val="00BD086D"/>
    <w:rsid w:val="00BD303A"/>
    <w:rsid w:val="00BE5A07"/>
    <w:rsid w:val="00BE6231"/>
    <w:rsid w:val="00BF1951"/>
    <w:rsid w:val="00BF38A4"/>
    <w:rsid w:val="00BF7D11"/>
    <w:rsid w:val="00C021D3"/>
    <w:rsid w:val="00C04C1B"/>
    <w:rsid w:val="00C1288B"/>
    <w:rsid w:val="00C12D7B"/>
    <w:rsid w:val="00C12DE2"/>
    <w:rsid w:val="00C13BD2"/>
    <w:rsid w:val="00C17C1D"/>
    <w:rsid w:val="00C2064F"/>
    <w:rsid w:val="00C25B8F"/>
    <w:rsid w:val="00C27097"/>
    <w:rsid w:val="00C27D86"/>
    <w:rsid w:val="00C30BE2"/>
    <w:rsid w:val="00C35AFC"/>
    <w:rsid w:val="00C370EA"/>
    <w:rsid w:val="00C43D51"/>
    <w:rsid w:val="00C46ED6"/>
    <w:rsid w:val="00C50839"/>
    <w:rsid w:val="00C522A0"/>
    <w:rsid w:val="00C52D80"/>
    <w:rsid w:val="00C52E13"/>
    <w:rsid w:val="00C536ED"/>
    <w:rsid w:val="00C606F9"/>
    <w:rsid w:val="00C63801"/>
    <w:rsid w:val="00C6431A"/>
    <w:rsid w:val="00C67F2B"/>
    <w:rsid w:val="00C718AD"/>
    <w:rsid w:val="00C72C2E"/>
    <w:rsid w:val="00C73182"/>
    <w:rsid w:val="00C77BC3"/>
    <w:rsid w:val="00C804A3"/>
    <w:rsid w:val="00C80D3C"/>
    <w:rsid w:val="00C91D15"/>
    <w:rsid w:val="00C93E98"/>
    <w:rsid w:val="00CA068E"/>
    <w:rsid w:val="00CA1D02"/>
    <w:rsid w:val="00CA43B9"/>
    <w:rsid w:val="00CA6639"/>
    <w:rsid w:val="00CA6B16"/>
    <w:rsid w:val="00CA6FB9"/>
    <w:rsid w:val="00CB2B62"/>
    <w:rsid w:val="00CB39DC"/>
    <w:rsid w:val="00CB502A"/>
    <w:rsid w:val="00CB5B59"/>
    <w:rsid w:val="00CC0089"/>
    <w:rsid w:val="00CC169E"/>
    <w:rsid w:val="00CC225D"/>
    <w:rsid w:val="00CD013A"/>
    <w:rsid w:val="00CD1F58"/>
    <w:rsid w:val="00CD22D2"/>
    <w:rsid w:val="00CE0DC9"/>
    <w:rsid w:val="00CE12F4"/>
    <w:rsid w:val="00CE24F5"/>
    <w:rsid w:val="00CE3D23"/>
    <w:rsid w:val="00CE50A3"/>
    <w:rsid w:val="00CF2BAA"/>
    <w:rsid w:val="00CF50B2"/>
    <w:rsid w:val="00CF746C"/>
    <w:rsid w:val="00CF7CA5"/>
    <w:rsid w:val="00D00133"/>
    <w:rsid w:val="00D0137B"/>
    <w:rsid w:val="00D01F31"/>
    <w:rsid w:val="00D048A0"/>
    <w:rsid w:val="00D069F9"/>
    <w:rsid w:val="00D074FF"/>
    <w:rsid w:val="00D11F96"/>
    <w:rsid w:val="00D12240"/>
    <w:rsid w:val="00D153EB"/>
    <w:rsid w:val="00D15CAB"/>
    <w:rsid w:val="00D17ABA"/>
    <w:rsid w:val="00D24233"/>
    <w:rsid w:val="00D26540"/>
    <w:rsid w:val="00D27EC7"/>
    <w:rsid w:val="00D308A4"/>
    <w:rsid w:val="00D30B92"/>
    <w:rsid w:val="00D31265"/>
    <w:rsid w:val="00D31F9C"/>
    <w:rsid w:val="00D334AD"/>
    <w:rsid w:val="00D361F2"/>
    <w:rsid w:val="00D40349"/>
    <w:rsid w:val="00D50DF9"/>
    <w:rsid w:val="00D5245A"/>
    <w:rsid w:val="00D56376"/>
    <w:rsid w:val="00D56A2D"/>
    <w:rsid w:val="00D5790A"/>
    <w:rsid w:val="00D57AFC"/>
    <w:rsid w:val="00D60263"/>
    <w:rsid w:val="00D60A25"/>
    <w:rsid w:val="00D60FFD"/>
    <w:rsid w:val="00D62D11"/>
    <w:rsid w:val="00D673E7"/>
    <w:rsid w:val="00D67751"/>
    <w:rsid w:val="00D70061"/>
    <w:rsid w:val="00D70500"/>
    <w:rsid w:val="00D7084E"/>
    <w:rsid w:val="00D72D86"/>
    <w:rsid w:val="00D74A57"/>
    <w:rsid w:val="00D7760B"/>
    <w:rsid w:val="00D777C3"/>
    <w:rsid w:val="00D8049E"/>
    <w:rsid w:val="00D83B1E"/>
    <w:rsid w:val="00D84258"/>
    <w:rsid w:val="00D855F4"/>
    <w:rsid w:val="00D856C9"/>
    <w:rsid w:val="00D8588A"/>
    <w:rsid w:val="00D90350"/>
    <w:rsid w:val="00D906A3"/>
    <w:rsid w:val="00D906FE"/>
    <w:rsid w:val="00D941E6"/>
    <w:rsid w:val="00D94FC6"/>
    <w:rsid w:val="00D973A2"/>
    <w:rsid w:val="00DA1F62"/>
    <w:rsid w:val="00DA24CE"/>
    <w:rsid w:val="00DA2523"/>
    <w:rsid w:val="00DA4680"/>
    <w:rsid w:val="00DA57AA"/>
    <w:rsid w:val="00DA7E14"/>
    <w:rsid w:val="00DB1175"/>
    <w:rsid w:val="00DB1778"/>
    <w:rsid w:val="00DB4F67"/>
    <w:rsid w:val="00DB73FF"/>
    <w:rsid w:val="00DC1C7C"/>
    <w:rsid w:val="00DC20B2"/>
    <w:rsid w:val="00DC37D6"/>
    <w:rsid w:val="00DC6B0A"/>
    <w:rsid w:val="00DC6BA0"/>
    <w:rsid w:val="00DD05E6"/>
    <w:rsid w:val="00DD0B7B"/>
    <w:rsid w:val="00DD1DC0"/>
    <w:rsid w:val="00DD22D1"/>
    <w:rsid w:val="00DD2711"/>
    <w:rsid w:val="00DD4D6C"/>
    <w:rsid w:val="00DD4FB4"/>
    <w:rsid w:val="00DD77A4"/>
    <w:rsid w:val="00DE093B"/>
    <w:rsid w:val="00DE35DF"/>
    <w:rsid w:val="00DE6E67"/>
    <w:rsid w:val="00DE73E2"/>
    <w:rsid w:val="00DF0751"/>
    <w:rsid w:val="00DF1FC4"/>
    <w:rsid w:val="00DF239A"/>
    <w:rsid w:val="00DF4401"/>
    <w:rsid w:val="00DF5C08"/>
    <w:rsid w:val="00DF6AC6"/>
    <w:rsid w:val="00DF71A5"/>
    <w:rsid w:val="00DF74A0"/>
    <w:rsid w:val="00E0020E"/>
    <w:rsid w:val="00E00617"/>
    <w:rsid w:val="00E009D6"/>
    <w:rsid w:val="00E02194"/>
    <w:rsid w:val="00E026A0"/>
    <w:rsid w:val="00E06B76"/>
    <w:rsid w:val="00E11170"/>
    <w:rsid w:val="00E1179F"/>
    <w:rsid w:val="00E173E5"/>
    <w:rsid w:val="00E210B7"/>
    <w:rsid w:val="00E21B33"/>
    <w:rsid w:val="00E21F97"/>
    <w:rsid w:val="00E24D47"/>
    <w:rsid w:val="00E25A79"/>
    <w:rsid w:val="00E34607"/>
    <w:rsid w:val="00E36D15"/>
    <w:rsid w:val="00E40A14"/>
    <w:rsid w:val="00E44B6D"/>
    <w:rsid w:val="00E52ADF"/>
    <w:rsid w:val="00E534AC"/>
    <w:rsid w:val="00E53688"/>
    <w:rsid w:val="00E549E4"/>
    <w:rsid w:val="00E561DA"/>
    <w:rsid w:val="00E6220D"/>
    <w:rsid w:val="00E632F6"/>
    <w:rsid w:val="00E678A2"/>
    <w:rsid w:val="00E717CB"/>
    <w:rsid w:val="00E75D52"/>
    <w:rsid w:val="00E76DDF"/>
    <w:rsid w:val="00E772D9"/>
    <w:rsid w:val="00E772FE"/>
    <w:rsid w:val="00E826AD"/>
    <w:rsid w:val="00E83059"/>
    <w:rsid w:val="00E836C7"/>
    <w:rsid w:val="00E84411"/>
    <w:rsid w:val="00E86DD7"/>
    <w:rsid w:val="00E87E60"/>
    <w:rsid w:val="00E91A83"/>
    <w:rsid w:val="00E93725"/>
    <w:rsid w:val="00E93CB6"/>
    <w:rsid w:val="00E95FC2"/>
    <w:rsid w:val="00E9741B"/>
    <w:rsid w:val="00EA0C8A"/>
    <w:rsid w:val="00EA11B1"/>
    <w:rsid w:val="00EA1CEE"/>
    <w:rsid w:val="00EA2200"/>
    <w:rsid w:val="00EA2D6A"/>
    <w:rsid w:val="00EA52EE"/>
    <w:rsid w:val="00EB3786"/>
    <w:rsid w:val="00EB60B2"/>
    <w:rsid w:val="00EC3B3A"/>
    <w:rsid w:val="00EC485C"/>
    <w:rsid w:val="00EC4AF8"/>
    <w:rsid w:val="00ED6C51"/>
    <w:rsid w:val="00EE247F"/>
    <w:rsid w:val="00EE2BB1"/>
    <w:rsid w:val="00EE75DE"/>
    <w:rsid w:val="00EF192B"/>
    <w:rsid w:val="00EF56A2"/>
    <w:rsid w:val="00EF5873"/>
    <w:rsid w:val="00EF5974"/>
    <w:rsid w:val="00EF6FE1"/>
    <w:rsid w:val="00F006EB"/>
    <w:rsid w:val="00F01EB7"/>
    <w:rsid w:val="00F1685D"/>
    <w:rsid w:val="00F17737"/>
    <w:rsid w:val="00F2102D"/>
    <w:rsid w:val="00F324A2"/>
    <w:rsid w:val="00F35D90"/>
    <w:rsid w:val="00F37F1E"/>
    <w:rsid w:val="00F416D0"/>
    <w:rsid w:val="00F463BE"/>
    <w:rsid w:val="00F4706C"/>
    <w:rsid w:val="00F50F2A"/>
    <w:rsid w:val="00F53094"/>
    <w:rsid w:val="00F616AD"/>
    <w:rsid w:val="00F65607"/>
    <w:rsid w:val="00F65CA7"/>
    <w:rsid w:val="00F6728D"/>
    <w:rsid w:val="00F67323"/>
    <w:rsid w:val="00F71F19"/>
    <w:rsid w:val="00F74F01"/>
    <w:rsid w:val="00F779F5"/>
    <w:rsid w:val="00F80046"/>
    <w:rsid w:val="00F84FBA"/>
    <w:rsid w:val="00F85B01"/>
    <w:rsid w:val="00F92C98"/>
    <w:rsid w:val="00F92F3C"/>
    <w:rsid w:val="00F94C5D"/>
    <w:rsid w:val="00F94FD0"/>
    <w:rsid w:val="00FA2059"/>
    <w:rsid w:val="00FA4A4F"/>
    <w:rsid w:val="00FA719A"/>
    <w:rsid w:val="00FA744F"/>
    <w:rsid w:val="00FA7769"/>
    <w:rsid w:val="00FB2ECA"/>
    <w:rsid w:val="00FB326B"/>
    <w:rsid w:val="00FB6B11"/>
    <w:rsid w:val="00FB74CF"/>
    <w:rsid w:val="00FB7D38"/>
    <w:rsid w:val="00FC1F56"/>
    <w:rsid w:val="00FC2999"/>
    <w:rsid w:val="00FC63D5"/>
    <w:rsid w:val="00FD6482"/>
    <w:rsid w:val="00FD7F02"/>
    <w:rsid w:val="00FE3280"/>
    <w:rsid w:val="00FE5402"/>
    <w:rsid w:val="00FE695B"/>
    <w:rsid w:val="00FF0CED"/>
    <w:rsid w:val="00FF1D87"/>
    <w:rsid w:val="00FF3B7F"/>
    <w:rsid w:val="00FF3F8B"/>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02A10"/>
  <w15:chartTrackingRefBased/>
  <w15:docId w15:val="{A23309ED-7795-4A39-9CC8-31D8008B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688E"/>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Paragrafoelenco"/>
    <w:next w:val="Normale"/>
    <w:link w:val="Titolo2Carattere"/>
    <w:qFormat/>
    <w:rsid w:val="00CA43B9"/>
    <w:pPr>
      <w:numPr>
        <w:numId w:val="22"/>
      </w:numPr>
      <w:tabs>
        <w:tab w:val="left" w:pos="0"/>
        <w:tab w:val="right" w:pos="1278"/>
      </w:tabs>
      <w:spacing w:before="240" w:after="120" w:line="240" w:lineRule="auto"/>
      <w:ind w:right="567"/>
      <w:jc w:val="both"/>
      <w:outlineLvl w:val="1"/>
    </w:pPr>
    <w:rPr>
      <w:rFonts w:asciiTheme="majorHAnsi" w:hAnsiTheme="majorHAnsi" w:cstheme="majorHAnsi"/>
      <w:b/>
      <w:bCs/>
      <w:sz w:val="24"/>
      <w:szCs w:val="24"/>
    </w:rPr>
  </w:style>
  <w:style w:type="paragraph" w:styleId="Titolo3">
    <w:name w:val="heading 3"/>
    <w:basedOn w:val="Normale"/>
    <w:next w:val="Normale"/>
    <w:link w:val="Titolo3Carattere"/>
    <w:qFormat/>
    <w:rsid w:val="00CA43B9"/>
    <w:pPr>
      <w:spacing w:after="120" w:line="276" w:lineRule="auto"/>
      <w:jc w:val="both"/>
      <w:outlineLvl w:val="2"/>
    </w:pPr>
    <w:rPr>
      <w:rFonts w:asciiTheme="majorHAnsi" w:eastAsia="Times New Roman" w:hAnsiTheme="majorHAnsi" w:cstheme="majorHAnsi"/>
      <w:b/>
      <w:bCs/>
      <w:sz w:val="20"/>
      <w:szCs w:val="20"/>
      <w:u w:val="single"/>
      <w:lang w:eastAsia="it-IT"/>
    </w:rPr>
  </w:style>
  <w:style w:type="paragraph" w:styleId="Titolo4">
    <w:name w:val="heading 4"/>
    <w:basedOn w:val="Normale"/>
    <w:next w:val="Normale"/>
    <w:link w:val="Titolo4Carattere"/>
    <w:qFormat/>
    <w:rsid w:val="00CA43B9"/>
    <w:pPr>
      <w:tabs>
        <w:tab w:val="left" w:pos="0"/>
        <w:tab w:val="right" w:pos="1278"/>
      </w:tabs>
      <w:spacing w:before="240" w:after="120" w:line="240" w:lineRule="auto"/>
      <w:ind w:right="567"/>
      <w:jc w:val="both"/>
      <w:outlineLvl w:val="3"/>
    </w:pPr>
    <w:rPr>
      <w:rFonts w:asciiTheme="majorHAnsi" w:hAnsiTheme="majorHAnsi" w:cstheme="majorHAnsi"/>
      <w:b/>
      <w:bCs/>
      <w:sz w:val="20"/>
      <w:szCs w:val="20"/>
    </w:rPr>
  </w:style>
  <w:style w:type="paragraph" w:styleId="Titolo5">
    <w:name w:val="heading 5"/>
    <w:basedOn w:val="Titolo3"/>
    <w:next w:val="Normale"/>
    <w:link w:val="Titolo5Carattere"/>
    <w:qFormat/>
    <w:rsid w:val="00A463F3"/>
    <w:pPr>
      <w:outlineLvl w:val="4"/>
    </w:pPr>
  </w:style>
  <w:style w:type="paragraph" w:styleId="Titolo6">
    <w:name w:val="heading 6"/>
    <w:basedOn w:val="Normale"/>
    <w:next w:val="Normale"/>
    <w:link w:val="Titolo6Carattere"/>
    <w:qFormat/>
    <w:rsid w:val="00C27097"/>
    <w:pPr>
      <w:keepNext/>
      <w:spacing w:after="0" w:line="240" w:lineRule="auto"/>
      <w:outlineLvl w:val="5"/>
    </w:pPr>
    <w:rPr>
      <w:rFonts w:ascii="Arial" w:eastAsia="Times New Roman" w:hAnsi="Arial" w:cs="Arial"/>
      <w:color w:val="000000"/>
      <w:sz w:val="40"/>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CA43B9"/>
    <w:rPr>
      <w:rFonts w:asciiTheme="majorHAnsi" w:hAnsiTheme="majorHAnsi" w:cstheme="majorHAnsi"/>
      <w:b/>
      <w:bCs/>
      <w:sz w:val="24"/>
      <w:szCs w:val="24"/>
    </w:rPr>
  </w:style>
  <w:style w:type="character" w:customStyle="1" w:styleId="Titolo3Carattere">
    <w:name w:val="Titolo 3 Carattere"/>
    <w:basedOn w:val="Carpredefinitoparagrafo"/>
    <w:link w:val="Titolo3"/>
    <w:rsid w:val="00CA43B9"/>
    <w:rPr>
      <w:rFonts w:asciiTheme="majorHAnsi" w:eastAsia="Times New Roman" w:hAnsiTheme="majorHAnsi" w:cstheme="majorHAnsi"/>
      <w:b/>
      <w:bCs/>
      <w:sz w:val="20"/>
      <w:szCs w:val="20"/>
      <w:u w:val="single"/>
      <w:lang w:eastAsia="it-IT"/>
    </w:rPr>
  </w:style>
  <w:style w:type="character" w:customStyle="1" w:styleId="Titolo4Carattere">
    <w:name w:val="Titolo 4 Carattere"/>
    <w:basedOn w:val="Carpredefinitoparagrafo"/>
    <w:link w:val="Titolo4"/>
    <w:rsid w:val="00CA43B9"/>
    <w:rPr>
      <w:rFonts w:asciiTheme="majorHAnsi" w:hAnsiTheme="majorHAnsi" w:cstheme="majorHAnsi"/>
      <w:b/>
      <w:bCs/>
      <w:sz w:val="20"/>
      <w:szCs w:val="20"/>
    </w:rPr>
  </w:style>
  <w:style w:type="character" w:customStyle="1" w:styleId="Titolo5Carattere">
    <w:name w:val="Titolo 5 Carattere"/>
    <w:basedOn w:val="Carpredefinitoparagrafo"/>
    <w:link w:val="Titolo5"/>
    <w:rsid w:val="00A463F3"/>
    <w:rPr>
      <w:rFonts w:asciiTheme="majorHAnsi" w:eastAsia="Times New Roman" w:hAnsiTheme="majorHAnsi" w:cstheme="majorHAnsi"/>
      <w:b/>
      <w:bCs/>
      <w:sz w:val="20"/>
      <w:szCs w:val="20"/>
      <w:u w:val="single"/>
      <w:lang w:eastAsia="it-IT"/>
    </w:rPr>
  </w:style>
  <w:style w:type="character" w:customStyle="1" w:styleId="Titolo6Carattere">
    <w:name w:val="Titolo 6 Carattere"/>
    <w:basedOn w:val="Carpredefinitoparagrafo"/>
    <w:link w:val="Titolo6"/>
    <w:rsid w:val="00C27097"/>
    <w:rPr>
      <w:rFonts w:ascii="Arial" w:eastAsia="Times New Roman" w:hAnsi="Arial" w:cs="Arial"/>
      <w:color w:val="000000"/>
      <w:sz w:val="40"/>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ascii="Verdana" w:eastAsia="Times New Roman" w:hAnsi="Verdana"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jc w:val="both"/>
    </w:pPr>
    <w:rPr>
      <w:rFonts w:ascii="Verdana" w:eastAsia="Times New Roman" w:hAnsi="Verdana"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jc w:val="both"/>
    </w:pPr>
    <w:rPr>
      <w:rFonts w:ascii="Verdana" w:eastAsia="Times New Roman" w:hAnsi="Verdana"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jc w:val="both"/>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ascii="Verdana" w:eastAsia="Times New Roman" w:hAnsi="Verdana"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ascii="Verdana" w:eastAsia="Times New Roman" w:hAnsi="Verdana"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aragrafoelencoCarattere">
    <w:name w:val="Paragrafo elenco Carattere"/>
    <w:link w:val="Paragrafoelenco"/>
    <w:uiPriority w:val="34"/>
    <w:locked/>
    <w:rsid w:val="005F2698"/>
  </w:style>
  <w:style w:type="character" w:styleId="Testosegnaposto">
    <w:name w:val="Placeholder Text"/>
    <w:basedOn w:val="Carpredefinitoparagrafo"/>
    <w:uiPriority w:val="99"/>
    <w:semiHidden/>
    <w:rsid w:val="00756C38"/>
    <w:rPr>
      <w:color w:val="808080"/>
    </w:rPr>
  </w:style>
  <w:style w:type="character" w:styleId="Menzionenonrisolta">
    <w:name w:val="Unresolved Mention"/>
    <w:basedOn w:val="Carpredefinitoparagrafo"/>
    <w:uiPriority w:val="99"/>
    <w:semiHidden/>
    <w:unhideWhenUsed/>
    <w:rsid w:val="008803FA"/>
    <w:rPr>
      <w:color w:val="605E5C"/>
      <w:shd w:val="clear" w:color="auto" w:fill="E1DFDD"/>
    </w:rPr>
  </w:style>
  <w:style w:type="paragraph" w:styleId="Titolosommario">
    <w:name w:val="TOC Heading"/>
    <w:basedOn w:val="Titolo1"/>
    <w:next w:val="Normale"/>
    <w:uiPriority w:val="39"/>
    <w:unhideWhenUsed/>
    <w:qFormat/>
    <w:rsid w:val="00322503"/>
    <w:pPr>
      <w:outlineLvl w:val="9"/>
    </w:pPr>
    <w:rPr>
      <w:lang w:eastAsia="it-IT"/>
    </w:rPr>
  </w:style>
  <w:style w:type="paragraph" w:styleId="Sommario2">
    <w:name w:val="toc 2"/>
    <w:basedOn w:val="Normale"/>
    <w:next w:val="Normale"/>
    <w:autoRedefine/>
    <w:uiPriority w:val="39"/>
    <w:unhideWhenUsed/>
    <w:rsid w:val="00CA43B9"/>
    <w:pPr>
      <w:spacing w:after="100"/>
      <w:ind w:left="220"/>
    </w:pPr>
  </w:style>
  <w:style w:type="paragraph" w:styleId="Sommario3">
    <w:name w:val="toc 3"/>
    <w:basedOn w:val="Normale"/>
    <w:next w:val="Normale"/>
    <w:autoRedefine/>
    <w:uiPriority w:val="39"/>
    <w:unhideWhenUsed/>
    <w:rsid w:val="00CA43B9"/>
    <w:pPr>
      <w:spacing w:after="100"/>
      <w:ind w:left="440"/>
    </w:pPr>
  </w:style>
  <w:style w:type="paragraph" w:styleId="Sommario1">
    <w:name w:val="toc 1"/>
    <w:basedOn w:val="Normale"/>
    <w:next w:val="Normale"/>
    <w:autoRedefine/>
    <w:uiPriority w:val="39"/>
    <w:semiHidden/>
    <w:unhideWhenUsed/>
    <w:rsid w:val="00C67F2B"/>
    <w:pPr>
      <w:spacing w:after="100"/>
    </w:pPr>
    <w:rPr>
      <w:sz w:val="18"/>
    </w:rPr>
  </w:style>
  <w:style w:type="character" w:styleId="Collegamentovisitato">
    <w:name w:val="FollowedHyperlink"/>
    <w:basedOn w:val="Carpredefinitoparagrafo"/>
    <w:uiPriority w:val="99"/>
    <w:semiHidden/>
    <w:unhideWhenUsed/>
    <w:rsid w:val="006617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669">
      <w:bodyDiv w:val="1"/>
      <w:marLeft w:val="0"/>
      <w:marRight w:val="0"/>
      <w:marTop w:val="0"/>
      <w:marBottom w:val="0"/>
      <w:divBdr>
        <w:top w:val="none" w:sz="0" w:space="0" w:color="auto"/>
        <w:left w:val="none" w:sz="0" w:space="0" w:color="auto"/>
        <w:bottom w:val="none" w:sz="0" w:space="0" w:color="auto"/>
        <w:right w:val="none" w:sz="0" w:space="0" w:color="auto"/>
      </w:divBdr>
    </w:div>
    <w:div w:id="26416003">
      <w:bodyDiv w:val="1"/>
      <w:marLeft w:val="0"/>
      <w:marRight w:val="0"/>
      <w:marTop w:val="0"/>
      <w:marBottom w:val="0"/>
      <w:divBdr>
        <w:top w:val="none" w:sz="0" w:space="0" w:color="auto"/>
        <w:left w:val="none" w:sz="0" w:space="0" w:color="auto"/>
        <w:bottom w:val="none" w:sz="0" w:space="0" w:color="auto"/>
        <w:right w:val="none" w:sz="0" w:space="0" w:color="auto"/>
      </w:divBdr>
    </w:div>
    <w:div w:id="20456170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412892051">
      <w:bodyDiv w:val="1"/>
      <w:marLeft w:val="0"/>
      <w:marRight w:val="0"/>
      <w:marTop w:val="0"/>
      <w:marBottom w:val="0"/>
      <w:divBdr>
        <w:top w:val="none" w:sz="0" w:space="0" w:color="auto"/>
        <w:left w:val="none" w:sz="0" w:space="0" w:color="auto"/>
        <w:bottom w:val="none" w:sz="0" w:space="0" w:color="auto"/>
        <w:right w:val="none" w:sz="0" w:space="0" w:color="auto"/>
      </w:divBdr>
    </w:div>
    <w:div w:id="415367855">
      <w:bodyDiv w:val="1"/>
      <w:marLeft w:val="0"/>
      <w:marRight w:val="0"/>
      <w:marTop w:val="0"/>
      <w:marBottom w:val="0"/>
      <w:divBdr>
        <w:top w:val="none" w:sz="0" w:space="0" w:color="auto"/>
        <w:left w:val="none" w:sz="0" w:space="0" w:color="auto"/>
        <w:bottom w:val="none" w:sz="0" w:space="0" w:color="auto"/>
        <w:right w:val="none" w:sz="0" w:space="0" w:color="auto"/>
      </w:divBdr>
    </w:div>
    <w:div w:id="834615296">
      <w:bodyDiv w:val="1"/>
      <w:marLeft w:val="0"/>
      <w:marRight w:val="0"/>
      <w:marTop w:val="0"/>
      <w:marBottom w:val="0"/>
      <w:divBdr>
        <w:top w:val="none" w:sz="0" w:space="0" w:color="auto"/>
        <w:left w:val="none" w:sz="0" w:space="0" w:color="auto"/>
        <w:bottom w:val="none" w:sz="0" w:space="0" w:color="auto"/>
        <w:right w:val="none" w:sz="0" w:space="0" w:color="auto"/>
      </w:divBdr>
    </w:div>
    <w:div w:id="1541815829">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695231250">
      <w:bodyDiv w:val="1"/>
      <w:marLeft w:val="0"/>
      <w:marRight w:val="0"/>
      <w:marTop w:val="0"/>
      <w:marBottom w:val="0"/>
      <w:divBdr>
        <w:top w:val="none" w:sz="0" w:space="0" w:color="auto"/>
        <w:left w:val="none" w:sz="0" w:space="0" w:color="auto"/>
        <w:bottom w:val="none" w:sz="0" w:space="0" w:color="auto"/>
        <w:right w:val="none" w:sz="0" w:space="0" w:color="auto"/>
      </w:divBdr>
    </w:div>
    <w:div w:id="1905531910">
      <w:bodyDiv w:val="1"/>
      <w:marLeft w:val="0"/>
      <w:marRight w:val="0"/>
      <w:marTop w:val="0"/>
      <w:marBottom w:val="0"/>
      <w:divBdr>
        <w:top w:val="none" w:sz="0" w:space="0" w:color="auto"/>
        <w:left w:val="none" w:sz="0" w:space="0" w:color="auto"/>
        <w:bottom w:val="none" w:sz="0" w:space="0" w:color="auto"/>
        <w:right w:val="none" w:sz="0" w:space="0" w:color="auto"/>
      </w:divBdr>
    </w:div>
    <w:div w:id="2027244323">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jrc.ec.europa.eu/pvg_tools/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petition-policy.ec.europa.eu/state-aid/legislation/reference-discount-rates-and-recovery-interest-rates/reference-and-discount-ra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uri=CELEX%3A52020DC047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B37EFDD4A25A498948D971775D62CA" ma:contentTypeVersion="2" ma:contentTypeDescription="Creare un nuovo documento." ma:contentTypeScope="" ma:versionID="488849ced55ee5562e8ff349cb103b7e">
  <xsd:schema xmlns:xsd="http://www.w3.org/2001/XMLSchema" xmlns:xs="http://www.w3.org/2001/XMLSchema" xmlns:p="http://schemas.microsoft.com/office/2006/metadata/properties" xmlns:ns2="690f532b-a7c8-476c-a6d2-c5fe2a8a98e8" targetNamespace="http://schemas.microsoft.com/office/2006/metadata/properties" ma:root="true" ma:fieldsID="40729a7a0c56c3096b6f88f42ab60ce3" ns2:_="">
    <xsd:import namespace="690f532b-a7c8-476c-a6d2-c5fe2a8a98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0f532b-a7c8-476c-a6d2-c5fe2a8a98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A76A4A-055E-4E9C-B54D-CD703D9E0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0f532b-a7c8-476c-a6d2-c5fe2a8a9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3C43C7-B2FA-44AF-BF58-6955941E99BC}">
  <ds:schemaRefs>
    <ds:schemaRef ds:uri="http://schemas.openxmlformats.org/officeDocument/2006/bibliography"/>
  </ds:schemaRefs>
</ds:datastoreItem>
</file>

<file path=customXml/itemProps4.xml><?xml version="1.0" encoding="utf-8"?>
<ds:datastoreItem xmlns:ds="http://schemas.openxmlformats.org/officeDocument/2006/customXml" ds:itemID="{A7B17F22-8B0F-4A78-9CB7-8D8716962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3071</Words>
  <Characters>17509</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Gasbarri Christian</dc:creator>
  <cp:keywords/>
  <dc:description/>
  <cp:lastModifiedBy>Bianca Cosentini</cp:lastModifiedBy>
  <cp:revision>7</cp:revision>
  <dcterms:created xsi:type="dcterms:W3CDTF">2025-01-13T11:46:00Z</dcterms:created>
  <dcterms:modified xsi:type="dcterms:W3CDTF">2025-08-11T11:12:00Z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